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伊犁哈萨克自治州公安局都拉塔口岸分局2024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FAD9C8">
      <w:r>
        <w:br w:type="page"/>
      </w:r>
    </w:p>
    <w:p w14:paraId="19110932">
      <w:pPr>
        <w:spacing w:line="640" w:lineRule="exact"/>
        <w:jc w:val="center"/>
        <w:outlineLvl w:val="1"/>
      </w:pPr>
      <w:r>
        <w:rPr>
          <w:rFonts w:ascii="黑体" w:hAnsi="黑体" w:eastAsia="黑体"/>
          <w:sz w:val="32"/>
        </w:rPr>
        <w:t>第一部分 单位概况</w:t>
      </w:r>
    </w:p>
    <w:p w14:paraId="25971B1E">
      <w:pPr>
        <w:spacing w:line="640" w:lineRule="exact"/>
        <w:ind w:firstLine="640"/>
        <w:jc w:val="both"/>
        <w:outlineLvl w:val="2"/>
      </w:pPr>
      <w:r>
        <w:rPr>
          <w:rFonts w:ascii="黑体" w:hAnsi="黑体" w:eastAsia="黑体"/>
          <w:sz w:val="32"/>
        </w:rPr>
        <w:t>一、主要职能</w:t>
      </w:r>
    </w:p>
    <w:p w14:paraId="294B0B39">
      <w:pPr>
        <w:spacing w:line="580" w:lineRule="exact"/>
        <w:ind w:firstLine="640"/>
        <w:jc w:val="both"/>
      </w:pPr>
      <w:r>
        <w:rPr>
          <w:rFonts w:ascii="仿宋_GB2312" w:hAnsi="仿宋_GB2312" w:eastAsia="仿宋_GB2312"/>
          <w:sz w:val="32"/>
        </w:rPr>
        <w:t>（1）维护治安秩序：掌握影响稳定、危害国内安全和社会治安的情况，分析形势并制定对策，防范、打击各类违法犯罪活动，维护口岸区域的正常秩序。</w:t>
      </w:r>
    </w:p>
    <w:p w14:paraId="25211BE9">
      <w:pPr>
        <w:spacing w:line="580" w:lineRule="exact"/>
        <w:ind w:firstLine="640"/>
        <w:jc w:val="both"/>
        <w:rPr>
          <w:rFonts w:ascii="仿宋_GB2312" w:hAnsi="仿宋_GB2312" w:eastAsia="仿宋_GB2312"/>
          <w:sz w:val="32"/>
        </w:rPr>
      </w:pPr>
      <w:r>
        <w:rPr>
          <w:rFonts w:ascii="仿宋_GB2312" w:hAnsi="仿宋_GB2312" w:eastAsia="仿宋_GB2312"/>
          <w:sz w:val="32"/>
        </w:rPr>
        <w:t>（2）治安行政管理：依法管理口岸的社会治安，包括户籍、居民身份证、枪支弹药、危险物品和特种行业等工作，依法进行消防监督和管理。</w:t>
      </w:r>
    </w:p>
    <w:p w14:paraId="1163C4C3">
      <w:pPr>
        <w:spacing w:line="580" w:lineRule="exact"/>
        <w:ind w:firstLine="640"/>
        <w:jc w:val="both"/>
        <w:rPr>
          <w:rFonts w:ascii="仿宋_GB2312" w:hAnsi="仿宋_GB2312" w:eastAsia="仿宋_GB2312"/>
          <w:sz w:val="32"/>
        </w:rPr>
      </w:pPr>
      <w:r>
        <w:rPr>
          <w:rFonts w:ascii="仿宋_GB2312" w:hAnsi="仿宋_GB2312" w:eastAsia="仿宋_GB2312"/>
          <w:sz w:val="32"/>
        </w:rPr>
        <w:t>（3）出入境管理：依法管理国籍、口岸边防检查工作，组织指导出境、入境和外国人在辖区居留、旅行的有关管理工作，查处妨害国（边）境管理的刑事案件。</w:t>
      </w:r>
    </w:p>
    <w:p w14:paraId="263B7F7A">
      <w:pPr>
        <w:spacing w:line="580" w:lineRule="exact"/>
        <w:ind w:firstLine="640"/>
        <w:jc w:val="both"/>
        <w:rPr>
          <w:rFonts w:ascii="仿宋_GB2312" w:hAnsi="仿宋_GB2312" w:eastAsia="仿宋_GB2312"/>
          <w:sz w:val="32"/>
        </w:rPr>
      </w:pPr>
      <w:r>
        <w:rPr>
          <w:rFonts w:ascii="仿宋_GB2312" w:hAnsi="仿宋_GB2312" w:eastAsia="仿宋_GB2312"/>
          <w:sz w:val="32"/>
        </w:rPr>
        <w:t>（4）安全保卫工作：组织实施党和国家领导人及重要外宾来访，以及口岸重大会议、大型活动的安全警卫工作，指导监督相关单位的治安保卫工作和群众性治安保卫组织的治安防范工作。</w:t>
      </w:r>
    </w:p>
    <w:p w14:paraId="63229287">
      <w:pPr>
        <w:spacing w:line="580" w:lineRule="exact"/>
        <w:ind w:firstLine="640"/>
        <w:jc w:val="both"/>
        <w:rPr>
          <w:rFonts w:ascii="仿宋_GB2312" w:hAnsi="仿宋_GB2312" w:eastAsia="仿宋_GB2312"/>
          <w:sz w:val="32"/>
        </w:rPr>
      </w:pPr>
      <w:r>
        <w:rPr>
          <w:rFonts w:ascii="仿宋_GB2312" w:hAnsi="仿宋_GB2312" w:eastAsia="仿宋_GB2312"/>
          <w:sz w:val="32"/>
        </w:rPr>
        <w:t>（5）交通管理：指导依法管理口岸道路交通安全，维护交通秩序，以及机动车、驾驶员管理工作。</w:t>
      </w:r>
    </w:p>
    <w:p w14:paraId="6B941D12">
      <w:pPr>
        <w:spacing w:line="580" w:lineRule="exact"/>
        <w:ind w:firstLine="640"/>
        <w:jc w:val="both"/>
      </w:pPr>
      <w:r>
        <w:rPr>
          <w:rFonts w:hint="eastAsia" w:ascii="仿宋_GB2312" w:hAnsi="仿宋_GB2312" w:eastAsia="仿宋_GB2312"/>
          <w:sz w:val="32"/>
          <w:lang w:eastAsia="zh-CN"/>
        </w:rPr>
        <w:t>（</w:t>
      </w:r>
      <w:r>
        <w:rPr>
          <w:rFonts w:hint="eastAsia" w:ascii="仿宋_GB2312" w:hAnsi="仿宋_GB2312" w:eastAsia="仿宋_GB2312"/>
          <w:sz w:val="32"/>
          <w:lang w:val="en-US" w:eastAsia="zh-CN"/>
        </w:rPr>
        <w:t>6）</w:t>
      </w:r>
      <w:r>
        <w:rPr>
          <w:rFonts w:ascii="仿宋_GB2312" w:hAnsi="仿宋_GB2312" w:eastAsia="仿宋_GB2312"/>
          <w:sz w:val="32"/>
        </w:rPr>
        <w:t>队伍建设与管理：规划、指导和组织实施公安队伍正规化建设，以及公安民警的管理、教育和培训工作。</w:t>
      </w:r>
    </w:p>
    <w:p w14:paraId="66BB17A0">
      <w:pPr>
        <w:spacing w:line="640" w:lineRule="exact"/>
        <w:ind w:firstLine="640"/>
        <w:jc w:val="both"/>
        <w:outlineLvl w:val="2"/>
      </w:pPr>
      <w:r>
        <w:rPr>
          <w:rFonts w:ascii="黑体" w:hAnsi="黑体" w:eastAsia="黑体"/>
          <w:sz w:val="32"/>
        </w:rPr>
        <w:t>二、机构设置及人员情况</w:t>
      </w:r>
    </w:p>
    <w:p w14:paraId="5F15A455">
      <w:pPr>
        <w:spacing w:line="580" w:lineRule="exact"/>
        <w:ind w:firstLine="640"/>
        <w:jc w:val="both"/>
      </w:pPr>
      <w:r>
        <w:rPr>
          <w:rFonts w:ascii="仿宋_GB2312" w:hAnsi="仿宋_GB2312" w:eastAsia="仿宋_GB2312"/>
          <w:sz w:val="32"/>
        </w:rPr>
        <w:t>伊犁哈萨克自治州公安局都拉塔口岸分局2024年度，实有人数0人，其中：在职人员0人，增加0人；离休人员0人，增加0人；退休人员0人,增加0人。</w:t>
      </w:r>
    </w:p>
    <w:p w14:paraId="0A0A4734">
      <w:pPr>
        <w:spacing w:line="580" w:lineRule="exact"/>
        <w:ind w:firstLine="640"/>
        <w:jc w:val="both"/>
      </w:pPr>
      <w:r>
        <w:rPr>
          <w:rFonts w:ascii="仿宋_GB2312" w:hAnsi="仿宋_GB2312" w:eastAsia="仿宋_GB2312"/>
          <w:sz w:val="32"/>
        </w:rPr>
        <w:t>伊犁哈萨克自治州公安局都拉塔口岸分局无下属预算单位，下设5个科室，分别是：办公室、国保大队、治安与侦查大队、交通管理大队、情指中心。</w:t>
      </w:r>
    </w:p>
    <w:p w14:paraId="5FE3524B">
      <w:r>
        <w:br w:type="page"/>
      </w:r>
    </w:p>
    <w:p w14:paraId="7B18EE61">
      <w:pPr>
        <w:spacing w:line="240" w:lineRule="auto"/>
        <w:jc w:val="center"/>
        <w:outlineLvl w:val="1"/>
      </w:pPr>
      <w:r>
        <w:rPr>
          <w:rFonts w:ascii="黑体" w:hAnsi="黑体" w:eastAsia="黑体"/>
          <w:sz w:val="32"/>
        </w:rPr>
        <w:t>第二部分 部门决算情况说明</w:t>
      </w:r>
    </w:p>
    <w:p w14:paraId="6B0A5066">
      <w:pPr>
        <w:spacing w:line="640" w:lineRule="exact"/>
        <w:ind w:firstLine="640"/>
        <w:jc w:val="both"/>
        <w:outlineLvl w:val="2"/>
      </w:pPr>
      <w:r>
        <w:rPr>
          <w:rFonts w:ascii="黑体" w:hAnsi="黑体" w:eastAsia="黑体"/>
          <w:sz w:val="32"/>
        </w:rPr>
        <w:t>一、收入支出决算总体情况说明</w:t>
      </w:r>
    </w:p>
    <w:p w14:paraId="0D79F3AF">
      <w:pPr>
        <w:spacing w:line="580" w:lineRule="exact"/>
        <w:ind w:firstLine="640"/>
        <w:jc w:val="both"/>
      </w:pPr>
      <w:r>
        <w:rPr>
          <w:rFonts w:ascii="仿宋_GB2312" w:hAnsi="仿宋_GB2312" w:eastAsia="仿宋_GB2312"/>
          <w:b/>
          <w:sz w:val="32"/>
        </w:rPr>
        <w:t>2024年度收入总计628.31万元，</w:t>
      </w:r>
      <w:r>
        <w:rPr>
          <w:rFonts w:ascii="仿宋_GB2312" w:hAnsi="仿宋_GB2312" w:eastAsia="仿宋_GB2312"/>
          <w:b w:val="0"/>
          <w:sz w:val="32"/>
        </w:rPr>
        <w:t>其中：本年收入合计628.31万元，使用非财政拨款结余（含专用结余）0.00万元，年初结转和结余0.00万元。</w:t>
      </w:r>
    </w:p>
    <w:p w14:paraId="1EF5E3F2">
      <w:pPr>
        <w:spacing w:line="580" w:lineRule="exact"/>
        <w:ind w:firstLine="640"/>
        <w:jc w:val="both"/>
      </w:pPr>
      <w:r>
        <w:rPr>
          <w:rFonts w:ascii="仿宋_GB2312" w:hAnsi="仿宋_GB2312" w:eastAsia="仿宋_GB2312"/>
          <w:b/>
          <w:sz w:val="32"/>
        </w:rPr>
        <w:t>2024年度支出总计628.31万元，</w:t>
      </w:r>
      <w:r>
        <w:rPr>
          <w:rFonts w:ascii="仿宋_GB2312" w:hAnsi="仿宋_GB2312" w:eastAsia="仿宋_GB2312"/>
          <w:b w:val="0"/>
          <w:sz w:val="32"/>
        </w:rPr>
        <w:t>其中：本年支出合计628.31万元，结余分配0.00万元，年末结转和结余0.00万元。</w:t>
      </w:r>
    </w:p>
    <w:p w14:paraId="3053B147">
      <w:pPr>
        <w:spacing w:line="580" w:lineRule="exact"/>
        <w:ind w:firstLine="640"/>
        <w:jc w:val="both"/>
      </w:pPr>
      <w:r>
        <w:rPr>
          <w:rFonts w:ascii="仿宋_GB2312" w:hAnsi="仿宋_GB2312" w:eastAsia="仿宋_GB2312"/>
          <w:b w:val="0"/>
          <w:sz w:val="32"/>
        </w:rPr>
        <w:t>收入支出总体与上年相比，增加628.31万元，增长100.00%，主要原因是：本单位为2024年新成立预算单位，无上年对比数据。</w:t>
      </w:r>
    </w:p>
    <w:p w14:paraId="6E801072">
      <w:pPr>
        <w:spacing w:line="640" w:lineRule="exact"/>
        <w:ind w:firstLine="640"/>
        <w:jc w:val="both"/>
        <w:outlineLvl w:val="2"/>
      </w:pPr>
      <w:r>
        <w:rPr>
          <w:rFonts w:ascii="黑体" w:hAnsi="黑体" w:eastAsia="黑体"/>
          <w:sz w:val="32"/>
        </w:rPr>
        <w:t>二、收入决算情况说明</w:t>
      </w:r>
    </w:p>
    <w:p w14:paraId="181084BC">
      <w:pPr>
        <w:spacing w:line="580" w:lineRule="exact"/>
        <w:ind w:firstLine="640"/>
        <w:jc w:val="both"/>
      </w:pPr>
      <w:r>
        <w:rPr>
          <w:rFonts w:ascii="仿宋_GB2312" w:hAnsi="仿宋_GB2312" w:eastAsia="仿宋_GB2312"/>
          <w:b/>
          <w:sz w:val="32"/>
        </w:rPr>
        <w:t>本年收入628.31万元，</w:t>
      </w:r>
      <w:r>
        <w:rPr>
          <w:rFonts w:ascii="仿宋_GB2312" w:hAnsi="仿宋_GB2312" w:eastAsia="仿宋_GB2312"/>
          <w:b w:val="0"/>
          <w:sz w:val="32"/>
        </w:rPr>
        <w:t>其中：财政拨款收入628.31万元，占100.00%；上级补助收入0.00万元，占0.00%；事业收入0.00万元，占0.00%；经营收入0.00万元，占0.00%；附属单位上缴收入0.00万元，占0.00%；其他收入0.00万元，占0.00%。</w:t>
      </w:r>
    </w:p>
    <w:p w14:paraId="4240A0EE">
      <w:pPr>
        <w:spacing w:line="640" w:lineRule="exact"/>
        <w:ind w:firstLine="640"/>
        <w:jc w:val="both"/>
        <w:outlineLvl w:val="2"/>
      </w:pPr>
      <w:r>
        <w:rPr>
          <w:rFonts w:ascii="黑体" w:hAnsi="黑体" w:eastAsia="黑体"/>
          <w:sz w:val="32"/>
        </w:rPr>
        <w:t>三、支出决算情况说明</w:t>
      </w:r>
    </w:p>
    <w:p w14:paraId="0BD236B4">
      <w:pPr>
        <w:spacing w:line="580" w:lineRule="exact"/>
        <w:ind w:firstLine="640"/>
        <w:jc w:val="both"/>
      </w:pPr>
      <w:r>
        <w:rPr>
          <w:rFonts w:ascii="仿宋_GB2312" w:hAnsi="仿宋_GB2312" w:eastAsia="仿宋_GB2312"/>
          <w:b/>
          <w:sz w:val="32"/>
        </w:rPr>
        <w:t>本年支出628.31万元，</w:t>
      </w:r>
      <w:r>
        <w:rPr>
          <w:rFonts w:ascii="仿宋_GB2312" w:hAnsi="仿宋_GB2312" w:eastAsia="仿宋_GB2312"/>
          <w:b w:val="0"/>
          <w:sz w:val="32"/>
        </w:rPr>
        <w:t>其中：基本支出628.31万元，占100.00%；项目支出0.00万元，占0.00%；上缴上级支出0.00万元，占0.00%；经营支出0.00万元，占0.00%；对附属单位补助支出0.00万元，占0.00%。</w:t>
      </w:r>
    </w:p>
    <w:p w14:paraId="73E0843C">
      <w:pPr>
        <w:spacing w:line="640" w:lineRule="exact"/>
        <w:ind w:firstLine="640"/>
        <w:jc w:val="both"/>
        <w:outlineLvl w:val="2"/>
      </w:pPr>
      <w:r>
        <w:rPr>
          <w:rFonts w:ascii="黑体" w:hAnsi="黑体" w:eastAsia="黑体"/>
          <w:sz w:val="32"/>
        </w:rPr>
        <w:t>四、财政拨款收入支出决算总体情况说明</w:t>
      </w:r>
    </w:p>
    <w:p w14:paraId="3FAC9418">
      <w:pPr>
        <w:spacing w:line="580" w:lineRule="exact"/>
        <w:ind w:firstLine="640"/>
        <w:jc w:val="both"/>
      </w:pPr>
      <w:r>
        <w:rPr>
          <w:rFonts w:ascii="仿宋_GB2312" w:hAnsi="仿宋_GB2312" w:eastAsia="仿宋_GB2312"/>
          <w:b/>
          <w:sz w:val="32"/>
        </w:rPr>
        <w:t>2024年度财政拨款收入总计628.31万元，</w:t>
      </w:r>
      <w:r>
        <w:rPr>
          <w:rFonts w:ascii="仿宋_GB2312" w:hAnsi="仿宋_GB2312" w:eastAsia="仿宋_GB2312"/>
          <w:b w:val="0"/>
          <w:sz w:val="32"/>
        </w:rPr>
        <w:t>其中：年初财政拨款结转和结余0.00万元，本年财政拨款收入628.31万元。</w:t>
      </w:r>
      <w:r>
        <w:rPr>
          <w:rFonts w:ascii="仿宋_GB2312" w:hAnsi="仿宋_GB2312" w:eastAsia="仿宋_GB2312"/>
          <w:b/>
          <w:sz w:val="32"/>
        </w:rPr>
        <w:t>财政拨款支出总计628.31万元，</w:t>
      </w:r>
      <w:r>
        <w:rPr>
          <w:rFonts w:ascii="仿宋_GB2312" w:hAnsi="仿宋_GB2312" w:eastAsia="仿宋_GB2312"/>
          <w:b w:val="0"/>
          <w:sz w:val="32"/>
        </w:rPr>
        <w:t>其中：年末财政拨款结转和结余0.00万元，本年财政拨款支出628.31万元。</w:t>
      </w:r>
    </w:p>
    <w:p w14:paraId="2423AC4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增加628.31万元，增长100.00%，主要原因是：本单位为2024年新成立预算单位，无上年对比数据。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年初预算数579.66万元，决算数628.31万元，预决算差异率8.39%，主要原因是：年中追加辅警人员工资、社保、公积金基数调增部分资金，导致预决算存在差异。</w:t>
      </w:r>
    </w:p>
    <w:p w14:paraId="202FFBB8">
      <w:pPr>
        <w:spacing w:line="640" w:lineRule="exact"/>
        <w:ind w:firstLine="640"/>
        <w:jc w:val="both"/>
        <w:outlineLvl w:val="2"/>
      </w:pPr>
      <w:r>
        <w:rPr>
          <w:rFonts w:ascii="黑体" w:hAnsi="黑体" w:eastAsia="黑体"/>
          <w:sz w:val="32"/>
        </w:rPr>
        <w:t>五、一般公共预算财政拨款支出决算情况说明</w:t>
      </w:r>
    </w:p>
    <w:p w14:paraId="68EAFF4C">
      <w:pPr>
        <w:spacing w:line="640" w:lineRule="exact"/>
        <w:ind w:firstLine="640"/>
        <w:jc w:val="both"/>
        <w:outlineLvl w:val="3"/>
      </w:pPr>
      <w:r>
        <w:rPr>
          <w:rFonts w:ascii="楷体_GB2312" w:hAnsi="楷体_GB2312" w:eastAsia="楷体_GB2312"/>
          <w:b/>
          <w:sz w:val="32"/>
        </w:rPr>
        <w:t>（一）一般公共预算财政拨款支出决算总体情况</w:t>
      </w:r>
    </w:p>
    <w:p w14:paraId="7870335A">
      <w:pPr>
        <w:spacing w:line="580" w:lineRule="exact"/>
        <w:ind w:firstLine="640"/>
        <w:jc w:val="both"/>
      </w:pPr>
      <w:r>
        <w:rPr>
          <w:rFonts w:ascii="仿宋_GB2312" w:hAnsi="仿宋_GB2312" w:eastAsia="仿宋_GB2312"/>
          <w:b/>
          <w:sz w:val="32"/>
        </w:rPr>
        <w:t>2024年度一般公共预算财政拨款支出628.31万元，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增加628.31万元，增长100.00%，主要原因是：本单位为2024年新成立预算单位，无上年对比数据。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年初预算数579.66万元，决算数628.31万元，预决算差异率8.39%，主要原因是：年中追加辅警人员工资、社保、公积金基数调增部分资金，导致预决算存在差异。</w:t>
      </w:r>
    </w:p>
    <w:p w14:paraId="1E64CB3A">
      <w:pPr>
        <w:spacing w:line="640" w:lineRule="exact"/>
        <w:ind w:firstLine="640"/>
        <w:jc w:val="both"/>
        <w:outlineLvl w:val="3"/>
      </w:pPr>
      <w:r>
        <w:rPr>
          <w:rFonts w:ascii="楷体_GB2312" w:hAnsi="楷体_GB2312" w:eastAsia="楷体_GB2312"/>
          <w:b/>
          <w:sz w:val="32"/>
        </w:rPr>
        <w:t>（二）一般公共预算财政拨款支出决算结构情况</w:t>
      </w:r>
    </w:p>
    <w:p w14:paraId="265CFBA1">
      <w:pPr>
        <w:spacing w:line="580" w:lineRule="exact"/>
        <w:ind w:firstLine="640"/>
        <w:jc w:val="both"/>
      </w:pPr>
      <w:r>
        <w:rPr>
          <w:rFonts w:ascii="仿宋_GB2312" w:hAnsi="仿宋_GB2312" w:eastAsia="仿宋_GB2312"/>
          <w:b w:val="0"/>
          <w:sz w:val="32"/>
        </w:rPr>
        <w:t>1.公共安全支出(类)527.54万元,占83.96%。</w:t>
      </w:r>
    </w:p>
    <w:p w14:paraId="610B467A">
      <w:pPr>
        <w:spacing w:line="580" w:lineRule="exact"/>
        <w:ind w:firstLine="640"/>
        <w:jc w:val="both"/>
      </w:pPr>
      <w:r>
        <w:rPr>
          <w:rFonts w:ascii="仿宋_GB2312" w:hAnsi="仿宋_GB2312" w:eastAsia="仿宋_GB2312"/>
          <w:b w:val="0"/>
          <w:sz w:val="32"/>
        </w:rPr>
        <w:t>2.社会保障和就业支出(类)62.58万元,占9.96%。</w:t>
      </w:r>
    </w:p>
    <w:p w14:paraId="379A550D">
      <w:pPr>
        <w:spacing w:line="580" w:lineRule="exact"/>
        <w:ind w:firstLine="640"/>
        <w:jc w:val="both"/>
      </w:pPr>
      <w:r>
        <w:rPr>
          <w:rFonts w:ascii="仿宋_GB2312" w:hAnsi="仿宋_GB2312" w:eastAsia="仿宋_GB2312"/>
          <w:b w:val="0"/>
          <w:sz w:val="32"/>
        </w:rPr>
        <w:t>3.卫生健康支出(类)29.02万元,占4.62%。</w:t>
      </w:r>
    </w:p>
    <w:p w14:paraId="1F39F710">
      <w:pPr>
        <w:spacing w:line="580" w:lineRule="exact"/>
        <w:ind w:firstLine="640"/>
        <w:jc w:val="both"/>
      </w:pPr>
      <w:r>
        <w:rPr>
          <w:rFonts w:ascii="仿宋_GB2312" w:hAnsi="仿宋_GB2312" w:eastAsia="仿宋_GB2312"/>
          <w:b w:val="0"/>
          <w:sz w:val="32"/>
        </w:rPr>
        <w:t>4.住房保障支出(类)9.17万元,占1.46%。</w:t>
      </w:r>
    </w:p>
    <w:p w14:paraId="7CF22189">
      <w:pPr>
        <w:spacing w:line="640" w:lineRule="exact"/>
        <w:ind w:firstLine="640"/>
        <w:jc w:val="both"/>
        <w:outlineLvl w:val="3"/>
      </w:pPr>
      <w:r>
        <w:rPr>
          <w:rFonts w:ascii="楷体_GB2312" w:hAnsi="楷体_GB2312" w:eastAsia="楷体_GB2312"/>
          <w:b/>
          <w:sz w:val="32"/>
        </w:rPr>
        <w:t>（三）一般公共预算财政拨款支出决算具体情况</w:t>
      </w:r>
    </w:p>
    <w:p w14:paraId="6454BDE7">
      <w:pPr>
        <w:spacing w:line="580" w:lineRule="exact"/>
        <w:ind w:firstLine="640"/>
        <w:jc w:val="both"/>
      </w:pPr>
      <w:r>
        <w:rPr>
          <w:rFonts w:ascii="仿宋_GB2312" w:hAnsi="仿宋_GB2312" w:eastAsia="仿宋_GB2312"/>
          <w:b w:val="0"/>
          <w:sz w:val="32"/>
        </w:rPr>
        <w:t>1.公共安全支出(类)公安(款)行政运行(项):支出决算数为527.54万元，比上年决算增加527.54万元，增长100.00%,主要原因是：本单位为2024年新成立预算单位，无上年对比数据。</w:t>
      </w:r>
    </w:p>
    <w:p w14:paraId="34B65F0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60.16万元，比上年决算增加60.16万元，增长100.00%,主要原因是：本单位为2024年新成立预算单位，无上年对比数据。</w:t>
      </w:r>
    </w:p>
    <w:p w14:paraId="06E5CEAF">
      <w:pPr>
        <w:spacing w:line="580" w:lineRule="exact"/>
        <w:ind w:firstLine="640"/>
        <w:jc w:val="both"/>
      </w:pPr>
      <w:r>
        <w:rPr>
          <w:rFonts w:ascii="仿宋_GB2312" w:hAnsi="仿宋_GB2312" w:eastAsia="仿宋_GB2312"/>
          <w:b w:val="0"/>
          <w:sz w:val="32"/>
        </w:rPr>
        <w:t>3.社会保障和就业支出(类)其他社会保障和就业支出(款)其他社会保障和就业支出(项):支出决算数为2.42万元，比上年决算增加2.42万元，增长100.00%,主要原因是：本单位为2024年新成立预算单位，无上年对比数据。</w:t>
      </w:r>
    </w:p>
    <w:p w14:paraId="41F0293A">
      <w:pPr>
        <w:spacing w:line="580" w:lineRule="exact"/>
        <w:ind w:firstLine="640"/>
        <w:jc w:val="both"/>
      </w:pPr>
      <w:r>
        <w:rPr>
          <w:rFonts w:ascii="仿宋_GB2312" w:hAnsi="仿宋_GB2312" w:eastAsia="仿宋_GB2312"/>
          <w:b w:val="0"/>
          <w:sz w:val="32"/>
        </w:rPr>
        <w:t>4.卫生健康支出(类)行政事业单位医疗(款)行政单位医疗(项):支出决算数为29.02万元，比上年决算增加29.02万元，增长100.00%,主要原因是：本单位为2024年新成立预算单位，无上年对比数据。</w:t>
      </w:r>
    </w:p>
    <w:p w14:paraId="39856AF2">
      <w:pPr>
        <w:spacing w:line="580" w:lineRule="exact"/>
        <w:ind w:firstLine="640"/>
        <w:jc w:val="both"/>
      </w:pPr>
      <w:r>
        <w:rPr>
          <w:rFonts w:ascii="仿宋_GB2312" w:hAnsi="仿宋_GB2312" w:eastAsia="仿宋_GB2312"/>
          <w:b w:val="0"/>
          <w:sz w:val="32"/>
        </w:rPr>
        <w:t>5.住房保障支出(类)住房改革支出(款)住房公积金(项):支出决算数为9.17万元，比上年决算增加9.17万元，增长100.00%,主要原因是：本单位为2024年新成立预算单位，无上年对比数据。</w:t>
      </w:r>
    </w:p>
    <w:p w14:paraId="1275B235">
      <w:pPr>
        <w:spacing w:line="640" w:lineRule="exact"/>
        <w:ind w:firstLine="640"/>
        <w:jc w:val="both"/>
        <w:outlineLvl w:val="2"/>
      </w:pPr>
      <w:r>
        <w:rPr>
          <w:rFonts w:ascii="黑体" w:hAnsi="黑体" w:eastAsia="黑体"/>
          <w:sz w:val="32"/>
        </w:rPr>
        <w:t>六、一般公共预算财政拨款基本支出决算情况说明</w:t>
      </w:r>
    </w:p>
    <w:p w14:paraId="29A4BCCC">
      <w:pPr>
        <w:spacing w:line="580" w:lineRule="exact"/>
        <w:ind w:firstLine="640"/>
        <w:jc w:val="both"/>
      </w:pPr>
      <w:r>
        <w:rPr>
          <w:rFonts w:ascii="仿宋_GB2312" w:hAnsi="仿宋_GB2312" w:eastAsia="仿宋_GB2312"/>
          <w:b w:val="0"/>
          <w:sz w:val="32"/>
        </w:rPr>
        <w:t>2024年度一般公共预算财政拨款基本支出628.31万元，其中：</w:t>
      </w:r>
      <w:r>
        <w:rPr>
          <w:rFonts w:ascii="仿宋_GB2312" w:hAnsi="仿宋_GB2312" w:eastAsia="仿宋_GB2312"/>
          <w:b/>
          <w:sz w:val="32"/>
        </w:rPr>
        <w:t>人员经费543.53万元，</w:t>
      </w:r>
      <w:r>
        <w:rPr>
          <w:rFonts w:ascii="仿宋_GB2312" w:hAnsi="仿宋_GB2312" w:eastAsia="仿宋_GB2312"/>
          <w:b w:val="0"/>
          <w:sz w:val="32"/>
        </w:rPr>
        <w:t>包括：伙食补助费、机关事业单位基本养老保险缴费、职工基本医疗保险缴费、其他社会保障缴费、住房公积金、其他工资福利支出。</w:t>
      </w:r>
    </w:p>
    <w:p w14:paraId="4FE3F30A">
      <w:pPr>
        <w:spacing w:line="580" w:lineRule="exact"/>
        <w:ind w:firstLine="640"/>
        <w:jc w:val="both"/>
      </w:pPr>
      <w:r>
        <w:rPr>
          <w:rFonts w:ascii="仿宋_GB2312" w:hAnsi="仿宋_GB2312" w:eastAsia="仿宋_GB2312"/>
          <w:b/>
          <w:sz w:val="32"/>
        </w:rPr>
        <w:t>公用经费84.79万元，</w:t>
      </w:r>
      <w:r>
        <w:rPr>
          <w:rFonts w:ascii="仿宋_GB2312" w:hAnsi="仿宋_GB2312" w:eastAsia="仿宋_GB2312"/>
          <w:b w:val="0"/>
          <w:sz w:val="32"/>
        </w:rPr>
        <w:t>包括：办公费、电费、邮电费、租赁费、劳务费、其他交通费用。</w:t>
      </w:r>
    </w:p>
    <w:p w14:paraId="26D635D5">
      <w:pPr>
        <w:spacing w:line="640" w:lineRule="exact"/>
        <w:ind w:firstLine="640"/>
        <w:jc w:val="both"/>
        <w:outlineLvl w:val="2"/>
      </w:pPr>
      <w:r>
        <w:rPr>
          <w:rFonts w:ascii="黑体" w:hAnsi="黑体" w:eastAsia="黑体"/>
          <w:sz w:val="32"/>
        </w:rPr>
        <w:t>七、政府性基金预算财政拨款收入支出决算情况说明</w:t>
      </w:r>
    </w:p>
    <w:p w14:paraId="7B4FE0A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822BAA0">
      <w:pPr>
        <w:spacing w:line="640" w:lineRule="exact"/>
        <w:ind w:firstLine="640"/>
        <w:jc w:val="both"/>
        <w:outlineLvl w:val="2"/>
      </w:pPr>
      <w:r>
        <w:rPr>
          <w:rFonts w:ascii="黑体" w:hAnsi="黑体" w:eastAsia="黑体"/>
          <w:sz w:val="32"/>
        </w:rPr>
        <w:t>八、国有资本经营预算财政拨款收入支出决算情况说明</w:t>
      </w:r>
    </w:p>
    <w:p w14:paraId="28781ED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6B0198">
      <w:pPr>
        <w:spacing w:line="640" w:lineRule="exact"/>
        <w:ind w:firstLine="640"/>
        <w:jc w:val="both"/>
        <w:outlineLvl w:val="2"/>
      </w:pPr>
      <w:r>
        <w:rPr>
          <w:rFonts w:ascii="黑体" w:hAnsi="黑体" w:eastAsia="黑体"/>
          <w:sz w:val="32"/>
        </w:rPr>
        <w:t>九、财政拨款“三公”经费支出决算情况说明</w:t>
      </w:r>
    </w:p>
    <w:p w14:paraId="3948B05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0A8F53C0">
      <w:pPr>
        <w:spacing w:line="580" w:lineRule="exact"/>
        <w:ind w:firstLine="640"/>
        <w:jc w:val="both"/>
      </w:pPr>
      <w:r>
        <w:rPr>
          <w:rFonts w:ascii="仿宋_GB2312" w:hAnsi="仿宋_GB2312" w:eastAsia="仿宋_GB2312"/>
          <w:b/>
          <w:sz w:val="32"/>
        </w:rPr>
        <w:t>具体情况如下：</w:t>
      </w:r>
    </w:p>
    <w:p w14:paraId="3BFCFE6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124ED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46E6A2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EC620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1B05476">
      <w:pPr>
        <w:spacing w:line="640" w:lineRule="exact"/>
        <w:ind w:firstLine="640"/>
        <w:jc w:val="both"/>
        <w:outlineLvl w:val="2"/>
      </w:pPr>
      <w:r>
        <w:rPr>
          <w:rFonts w:ascii="黑体" w:hAnsi="黑体" w:eastAsia="黑体"/>
          <w:sz w:val="32"/>
        </w:rPr>
        <w:t>十、其他重要事项的情况说明</w:t>
      </w:r>
    </w:p>
    <w:p w14:paraId="2A024D00">
      <w:pPr>
        <w:spacing w:line="640" w:lineRule="exact"/>
        <w:ind w:firstLine="640"/>
        <w:jc w:val="both"/>
        <w:outlineLvl w:val="3"/>
      </w:pPr>
      <w:r>
        <w:rPr>
          <w:rFonts w:ascii="楷体_GB2312" w:hAnsi="楷体_GB2312" w:eastAsia="楷体_GB2312"/>
          <w:b/>
          <w:sz w:val="32"/>
        </w:rPr>
        <w:t>（一）机关运行经费及公用经费支出情况</w:t>
      </w:r>
    </w:p>
    <w:p w14:paraId="1DC321F2">
      <w:pPr>
        <w:spacing w:line="580" w:lineRule="exact"/>
        <w:ind w:firstLine="640"/>
        <w:jc w:val="both"/>
      </w:pPr>
      <w:r>
        <w:rPr>
          <w:rFonts w:ascii="仿宋_GB2312" w:hAnsi="仿宋_GB2312" w:eastAsia="仿宋_GB2312"/>
          <w:b w:val="0"/>
          <w:sz w:val="32"/>
        </w:rPr>
        <w:t>2024年度伊犁哈萨克自治州公安局都拉塔口岸分局（行政单位和参照公务员法管理事业单位）机关运行经费支出84.79万元，比上年增加84.79万元，增长100.00%，主要原因是：本单位为2024年新成立预算单位，无上年对比数据。</w:t>
      </w:r>
    </w:p>
    <w:p w14:paraId="45888A39">
      <w:pPr>
        <w:spacing w:line="640" w:lineRule="exact"/>
        <w:ind w:firstLine="640"/>
        <w:jc w:val="both"/>
        <w:outlineLvl w:val="3"/>
      </w:pPr>
      <w:r>
        <w:rPr>
          <w:rFonts w:ascii="楷体_GB2312" w:hAnsi="楷体_GB2312" w:eastAsia="楷体_GB2312"/>
          <w:b/>
          <w:sz w:val="32"/>
        </w:rPr>
        <w:t>（二）政府采购情况</w:t>
      </w:r>
    </w:p>
    <w:p w14:paraId="46A9E794">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B5B1B2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0DCC985">
      <w:pPr>
        <w:spacing w:line="640" w:lineRule="exact"/>
        <w:ind w:firstLine="640"/>
        <w:jc w:val="both"/>
        <w:outlineLvl w:val="3"/>
      </w:pPr>
      <w:r>
        <w:rPr>
          <w:rFonts w:ascii="楷体_GB2312" w:hAnsi="楷体_GB2312" w:eastAsia="楷体_GB2312"/>
          <w:b/>
          <w:sz w:val="32"/>
        </w:rPr>
        <w:t>（三）国有资产占用情况说明</w:t>
      </w:r>
    </w:p>
    <w:p w14:paraId="0B3DC2B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w:t>
      </w:r>
      <w:bookmarkStart w:id="0" w:name="_GoBack"/>
      <w:bookmarkEnd w:id="0"/>
      <w:r>
        <w:rPr>
          <w:rFonts w:ascii="仿宋_GB2312" w:hAnsi="仿宋_GB2312" w:eastAsia="仿宋_GB2312"/>
          <w:b w:val="0"/>
          <w:sz w:val="32"/>
        </w:rPr>
        <w:t>辆、特种专业技术用车0辆、离退休干部服务用车0辆、其他用车0辆，其他用车主要是：本单位无其他用车。单价100万元（含）以上设备（不含车辆）0台（套）。</w:t>
      </w:r>
    </w:p>
    <w:p w14:paraId="6C105321">
      <w:pPr>
        <w:spacing w:line="640" w:lineRule="exact"/>
        <w:ind w:firstLine="640"/>
        <w:jc w:val="both"/>
        <w:outlineLvl w:val="2"/>
      </w:pPr>
      <w:r>
        <w:rPr>
          <w:rFonts w:ascii="黑体" w:hAnsi="黑体" w:eastAsia="黑体"/>
          <w:sz w:val="32"/>
        </w:rPr>
        <w:t>十一、预算绩效的情况说明</w:t>
      </w:r>
    </w:p>
    <w:p w14:paraId="724490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628.31</w:t>
      </w:r>
      <w:r>
        <w:rPr>
          <w:rFonts w:ascii="仿宋_GB2312" w:hAnsi="仿宋_GB2312" w:eastAsia="仿宋_GB2312"/>
          <w:b w:val="0"/>
          <w:sz w:val="32"/>
        </w:rPr>
        <w:t>万元，实际执行总额</w:t>
      </w:r>
      <w:r>
        <w:rPr>
          <w:rFonts w:hint="eastAsia" w:ascii="仿宋_GB2312" w:hAnsi="仿宋_GB2312" w:eastAsia="仿宋_GB2312"/>
          <w:b w:val="0"/>
          <w:sz w:val="32"/>
        </w:rPr>
        <w:t>628.31</w:t>
      </w:r>
      <w:r>
        <w:rPr>
          <w:rFonts w:ascii="仿宋_GB2312" w:hAnsi="仿宋_GB2312" w:eastAsia="仿宋_GB2312"/>
          <w:b w:val="0"/>
          <w:sz w:val="32"/>
        </w:rPr>
        <w:t>万元；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54B5A95E">
      <w:r>
        <w:br w:type="page"/>
      </w:r>
    </w:p>
    <w:p w14:paraId="5685B19F">
      <w:pPr>
        <w:spacing w:line="640" w:lineRule="exact"/>
        <w:ind w:firstLine="640"/>
        <w:jc w:val="both"/>
        <w:outlineLvl w:val="2"/>
      </w:pPr>
      <w:r>
        <w:rPr>
          <w:rFonts w:ascii="黑体" w:hAnsi="黑体" w:eastAsia="黑体"/>
          <w:sz w:val="32"/>
        </w:rPr>
        <w:t>十二、其他需说明的事项</w:t>
      </w:r>
    </w:p>
    <w:p w14:paraId="02D43A40">
      <w:pPr>
        <w:spacing w:line="580" w:lineRule="exact"/>
        <w:ind w:firstLine="640"/>
        <w:jc w:val="both"/>
      </w:pPr>
      <w:r>
        <w:rPr>
          <w:rFonts w:ascii="仿宋_GB2312" w:hAnsi="仿宋_GB2312" w:eastAsia="仿宋_GB2312"/>
          <w:b w:val="0"/>
          <w:sz w:val="32"/>
        </w:rPr>
        <w:t>本年度本单位整体绩效自评表不予公开。</w:t>
      </w:r>
    </w:p>
    <w:p w14:paraId="1434FFD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000397B">
      <w:r>
        <w:br w:type="page"/>
      </w:r>
    </w:p>
    <w:p w14:paraId="74CE7C65">
      <w:pPr>
        <w:spacing w:line="240" w:lineRule="auto"/>
        <w:jc w:val="center"/>
        <w:outlineLvl w:val="1"/>
      </w:pPr>
      <w:r>
        <w:rPr>
          <w:rFonts w:ascii="黑体" w:hAnsi="黑体" w:eastAsia="黑体"/>
          <w:sz w:val="32"/>
        </w:rPr>
        <w:t>第三部分 专业名词解释</w:t>
      </w:r>
    </w:p>
    <w:p w14:paraId="3F5B3EB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5EDEFA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A3A9E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28DD0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F963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602AC4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268D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92ED8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D404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013A5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267B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028EAA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CA938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3375E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287FAB">
      <w:r>
        <w:br w:type="page"/>
      </w:r>
    </w:p>
    <w:p w14:paraId="1CEB2951">
      <w:pPr>
        <w:spacing w:line="240" w:lineRule="auto"/>
        <w:jc w:val="center"/>
        <w:outlineLvl w:val="1"/>
      </w:pPr>
      <w:r>
        <w:rPr>
          <w:rFonts w:ascii="黑体" w:hAnsi="黑体" w:eastAsia="黑体"/>
          <w:sz w:val="32"/>
        </w:rPr>
        <w:t>第四部分 部门决算报表（见附表）</w:t>
      </w:r>
    </w:p>
    <w:p w14:paraId="6470A54A">
      <w:pPr>
        <w:spacing w:line="240" w:lineRule="auto"/>
        <w:ind w:firstLine="640"/>
        <w:jc w:val="both"/>
      </w:pPr>
      <w:r>
        <w:rPr>
          <w:rFonts w:ascii="仿宋_GB2312" w:hAnsi="仿宋_GB2312" w:eastAsia="仿宋_GB2312"/>
          <w:b w:val="0"/>
          <w:sz w:val="32"/>
        </w:rPr>
        <w:t>一、《收入支出决算总表》</w:t>
      </w:r>
    </w:p>
    <w:p w14:paraId="19298656">
      <w:pPr>
        <w:spacing w:line="240" w:lineRule="auto"/>
        <w:ind w:firstLine="640"/>
        <w:jc w:val="both"/>
      </w:pPr>
      <w:r>
        <w:rPr>
          <w:rFonts w:ascii="仿宋_GB2312" w:hAnsi="仿宋_GB2312" w:eastAsia="仿宋_GB2312"/>
          <w:b w:val="0"/>
          <w:sz w:val="32"/>
        </w:rPr>
        <w:t>二、《收入决算表》</w:t>
      </w:r>
    </w:p>
    <w:p w14:paraId="039DEA56">
      <w:pPr>
        <w:spacing w:line="240" w:lineRule="auto"/>
        <w:ind w:firstLine="640"/>
        <w:jc w:val="both"/>
      </w:pPr>
      <w:r>
        <w:rPr>
          <w:rFonts w:ascii="仿宋_GB2312" w:hAnsi="仿宋_GB2312" w:eastAsia="仿宋_GB2312"/>
          <w:b w:val="0"/>
          <w:sz w:val="32"/>
        </w:rPr>
        <w:t>三、《支出决算表》</w:t>
      </w:r>
    </w:p>
    <w:p w14:paraId="430BAD35">
      <w:pPr>
        <w:spacing w:line="240" w:lineRule="auto"/>
        <w:ind w:firstLine="640"/>
        <w:jc w:val="both"/>
      </w:pPr>
      <w:r>
        <w:rPr>
          <w:rFonts w:ascii="仿宋_GB2312" w:hAnsi="仿宋_GB2312" w:eastAsia="仿宋_GB2312"/>
          <w:b w:val="0"/>
          <w:sz w:val="32"/>
        </w:rPr>
        <w:t>四、《财政拨款收入支出决算总表》</w:t>
      </w:r>
    </w:p>
    <w:p w14:paraId="622CC7A9">
      <w:pPr>
        <w:spacing w:line="240" w:lineRule="auto"/>
        <w:ind w:firstLine="640"/>
        <w:jc w:val="both"/>
      </w:pPr>
      <w:r>
        <w:rPr>
          <w:rFonts w:ascii="仿宋_GB2312" w:hAnsi="仿宋_GB2312" w:eastAsia="仿宋_GB2312"/>
          <w:b w:val="0"/>
          <w:sz w:val="32"/>
        </w:rPr>
        <w:t>五、《一般公共预算财政拨款支出决算表》</w:t>
      </w:r>
    </w:p>
    <w:p w14:paraId="1264A528">
      <w:pPr>
        <w:spacing w:line="240" w:lineRule="auto"/>
        <w:ind w:firstLine="640"/>
        <w:jc w:val="both"/>
      </w:pPr>
      <w:r>
        <w:rPr>
          <w:rFonts w:ascii="仿宋_GB2312" w:hAnsi="仿宋_GB2312" w:eastAsia="仿宋_GB2312"/>
          <w:b w:val="0"/>
          <w:sz w:val="32"/>
        </w:rPr>
        <w:t>六、《一般公共预算财政拨款基本支出决算表》</w:t>
      </w:r>
    </w:p>
    <w:p w14:paraId="44583B49">
      <w:pPr>
        <w:spacing w:line="240" w:lineRule="auto"/>
        <w:ind w:firstLine="640"/>
        <w:jc w:val="both"/>
      </w:pPr>
      <w:r>
        <w:rPr>
          <w:rFonts w:ascii="仿宋_GB2312" w:hAnsi="仿宋_GB2312" w:eastAsia="仿宋_GB2312"/>
          <w:b w:val="0"/>
          <w:sz w:val="32"/>
        </w:rPr>
        <w:t>七、《政府性基金预算财政拨款收入支出决算表》</w:t>
      </w:r>
    </w:p>
    <w:p w14:paraId="5AC2C979">
      <w:pPr>
        <w:spacing w:line="240" w:lineRule="auto"/>
        <w:ind w:firstLine="640"/>
        <w:jc w:val="both"/>
      </w:pPr>
      <w:r>
        <w:rPr>
          <w:rFonts w:ascii="仿宋_GB2312" w:hAnsi="仿宋_GB2312" w:eastAsia="仿宋_GB2312"/>
          <w:b w:val="0"/>
          <w:sz w:val="32"/>
        </w:rPr>
        <w:t>八、《国有资本经营预算财政拨款收入支出决算表》</w:t>
      </w:r>
    </w:p>
    <w:p w14:paraId="0F37366B">
      <w:pPr>
        <w:spacing w:line="240" w:lineRule="auto"/>
        <w:ind w:firstLine="640"/>
        <w:jc w:val="both"/>
      </w:pPr>
      <w:r>
        <w:rPr>
          <w:rFonts w:ascii="仿宋_GB2312" w:hAnsi="仿宋_GB2312" w:eastAsia="仿宋_GB2312"/>
          <w:b w:val="0"/>
          <w:sz w:val="32"/>
        </w:rPr>
        <w:t>九、《财政拨款“三公”经费支出决算表》</w:t>
      </w:r>
    </w:p>
    <w:p w14:paraId="010D9EA2">
      <w:pPr>
        <w:spacing w:line="240" w:lineRule="auto"/>
        <w:ind w:firstLine="640"/>
        <w:jc w:val="both"/>
      </w:pPr>
    </w:p>
    <w:p w14:paraId="41680CBE">
      <w:pPr>
        <w:spacing w:line="240" w:lineRule="auto"/>
        <w:ind w:firstLine="640"/>
        <w:jc w:val="both"/>
      </w:pPr>
    </w:p>
    <w:p w14:paraId="4FAF4758">
      <w:pPr>
        <w:spacing w:line="240" w:lineRule="auto"/>
        <w:ind w:firstLine="640"/>
        <w:jc w:val="both"/>
      </w:pPr>
    </w:p>
    <w:p w14:paraId="6BC4D30B">
      <w:pPr>
        <w:spacing w:line="240" w:lineRule="auto"/>
        <w:ind w:firstLine="640"/>
        <w:jc w:val="both"/>
      </w:pPr>
    </w:p>
    <w:p w14:paraId="210C227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C70C13-2271-454D-9B6B-9DC76F075E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0AA56E82-E9DE-40A9-8441-E96D2AF52F94}"/>
  </w:font>
  <w:font w:name="楷体_GB2312">
    <w:panose1 w:val="02010609030101010101"/>
    <w:charset w:val="86"/>
    <w:family w:val="auto"/>
    <w:pitch w:val="default"/>
    <w:sig w:usb0="00000001" w:usb1="080E0000" w:usb2="00000000" w:usb3="00000000" w:csb0="00040000" w:csb1="00000000"/>
    <w:embedRegular r:id="rId3" w:fontKey="{79C79A23-0C9A-4FE6-851D-EDD05EABCB64}"/>
  </w:font>
  <w:font w:name="方正小标宋_GBK">
    <w:panose1 w:val="02000000000000000000"/>
    <w:charset w:val="86"/>
    <w:family w:val="script"/>
    <w:pitch w:val="default"/>
    <w:sig w:usb0="A00002BF" w:usb1="38CF7CFA" w:usb2="00082016" w:usb3="00000000" w:csb0="00040001" w:csb1="00000000"/>
    <w:embedRegular r:id="rId4" w:fontKey="{70C3C5F3-1E41-4CBF-9A5D-739302CE1B6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3661E2"/>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CB330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2E70B3"/>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5113</Words>
  <Characters>5755</Characters>
  <Lines>0</Lines>
  <Paragraphs>0</Paragraphs>
  <TotalTime>4</TotalTime>
  <ScaleCrop>false</ScaleCrop>
  <LinksUpToDate>false</LinksUpToDate>
  <CharactersWithSpaces>5765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2025-09-01T04:44:18Z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