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伊犁哈萨克自治州自然资源局都拉塔口岸分局2024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3136FF4C">
      <w:r>
        <w:br w:type="page"/>
      </w:r>
    </w:p>
    <w:p w14:paraId="28671A07">
      <w:pPr>
        <w:spacing w:line="640" w:lineRule="exact"/>
        <w:jc w:val="center"/>
        <w:outlineLvl w:val="1"/>
      </w:pPr>
      <w:r>
        <w:rPr>
          <w:rFonts w:ascii="黑体" w:hAnsi="黑体" w:eastAsia="黑体"/>
          <w:sz w:val="32"/>
        </w:rPr>
        <w:t>第一部分 单位概况</w:t>
      </w:r>
    </w:p>
    <w:p w14:paraId="55D20A68">
      <w:pPr>
        <w:spacing w:line="640" w:lineRule="exact"/>
        <w:ind w:firstLine="640"/>
        <w:jc w:val="both"/>
        <w:outlineLvl w:val="2"/>
      </w:pPr>
      <w:r>
        <w:rPr>
          <w:rFonts w:ascii="黑体" w:hAnsi="黑体" w:eastAsia="黑体"/>
          <w:sz w:val="32"/>
        </w:rPr>
        <w:t>一、主要职能</w:t>
      </w:r>
    </w:p>
    <w:p w14:paraId="58C3D77E">
      <w:pPr>
        <w:spacing w:line="580" w:lineRule="exact"/>
        <w:ind w:firstLine="640"/>
        <w:jc w:val="both"/>
        <w:rPr>
          <w:rFonts w:hint="eastAsia" w:eastAsia="仿宋_GB2312"/>
          <w:lang w:eastAsia="zh-CN"/>
        </w:rPr>
      </w:pPr>
      <w:r>
        <w:rPr>
          <w:rFonts w:ascii="仿宋_GB2312" w:hAnsi="仿宋_GB2312" w:eastAsia="仿宋_GB2312"/>
          <w:sz w:val="32"/>
        </w:rPr>
        <w:t>口岸分局主要职责为自然资源管理方面</w:t>
      </w:r>
      <w:r>
        <w:rPr>
          <w:rFonts w:hint="eastAsia" w:ascii="仿宋_GB2312" w:hAnsi="仿宋_GB2312" w:eastAsia="仿宋_GB2312"/>
          <w:sz w:val="32"/>
          <w:lang w:eastAsia="zh-CN"/>
        </w:rPr>
        <w:t>：</w:t>
      </w:r>
    </w:p>
    <w:p w14:paraId="48994D7E">
      <w:pPr>
        <w:spacing w:line="580" w:lineRule="exact"/>
        <w:ind w:firstLine="640"/>
        <w:jc w:val="both"/>
      </w:pPr>
      <w:r>
        <w:rPr>
          <w:rFonts w:ascii="仿宋_GB2312" w:hAnsi="仿宋_GB2312" w:eastAsia="仿宋_GB2312"/>
          <w:sz w:val="32"/>
        </w:rPr>
        <w:t>（1）土地利用总体规划的修编工作。</w:t>
      </w:r>
    </w:p>
    <w:p w14:paraId="0FF526C5">
      <w:pPr>
        <w:spacing w:line="580" w:lineRule="exact"/>
        <w:ind w:firstLine="640"/>
        <w:jc w:val="both"/>
      </w:pPr>
      <w:r>
        <w:rPr>
          <w:rFonts w:ascii="仿宋_GB2312" w:hAnsi="仿宋_GB2312" w:eastAsia="仿宋_GB2312"/>
          <w:sz w:val="32"/>
        </w:rPr>
        <w:t>（2）保障都拉塔口岸用地需求。</w:t>
      </w:r>
    </w:p>
    <w:p w14:paraId="7E282A3D">
      <w:pPr>
        <w:spacing w:line="580" w:lineRule="exact"/>
        <w:ind w:firstLine="640"/>
        <w:jc w:val="both"/>
      </w:pPr>
      <w:r>
        <w:rPr>
          <w:rFonts w:ascii="仿宋_GB2312" w:hAnsi="仿宋_GB2312" w:eastAsia="仿宋_GB2312"/>
          <w:sz w:val="32"/>
        </w:rPr>
        <w:t>（3）地籍管理工作、用于土地证登记核查等工作。</w:t>
      </w:r>
    </w:p>
    <w:p w14:paraId="78056405">
      <w:pPr>
        <w:spacing w:line="580" w:lineRule="exact"/>
        <w:ind w:firstLine="640"/>
        <w:jc w:val="both"/>
      </w:pPr>
      <w:r>
        <w:rPr>
          <w:rFonts w:ascii="仿宋_GB2312" w:hAnsi="仿宋_GB2312" w:eastAsia="仿宋_GB2312"/>
          <w:sz w:val="32"/>
        </w:rPr>
        <w:t>（4）口岸自然资源分局依法执行违规违法建设的检查情况。</w:t>
      </w:r>
    </w:p>
    <w:p w14:paraId="30E10574">
      <w:pPr>
        <w:spacing w:line="580" w:lineRule="exact"/>
        <w:ind w:firstLine="640"/>
        <w:jc w:val="both"/>
      </w:pPr>
      <w:r>
        <w:rPr>
          <w:rFonts w:ascii="仿宋_GB2312" w:hAnsi="仿宋_GB2312" w:eastAsia="仿宋_GB2312"/>
          <w:sz w:val="32"/>
        </w:rPr>
        <w:t>（5）口岸土地总体规划及测绘等工作。</w:t>
      </w:r>
    </w:p>
    <w:p w14:paraId="06B752DB">
      <w:pPr>
        <w:spacing w:line="580" w:lineRule="exact"/>
        <w:ind w:firstLine="640"/>
        <w:jc w:val="both"/>
        <w:rPr>
          <w:rFonts w:hint="eastAsia" w:eastAsia="仿宋_GB2312"/>
          <w:lang w:eastAsia="zh-CN"/>
        </w:rPr>
      </w:pPr>
      <w:r>
        <w:rPr>
          <w:rFonts w:ascii="仿宋_GB2312" w:hAnsi="仿宋_GB2312" w:eastAsia="仿宋_GB2312"/>
          <w:sz w:val="32"/>
        </w:rPr>
        <w:t>都拉塔口岸不动产登记中心主要受</w:t>
      </w:r>
      <w:r>
        <w:rPr>
          <w:rFonts w:hint="eastAsia" w:ascii="仿宋_GB2312" w:hAnsi="仿宋_GB2312" w:eastAsia="仿宋_GB2312"/>
          <w:sz w:val="32"/>
          <w:lang w:eastAsia="zh-CN"/>
        </w:rPr>
        <w:t>察布查尔锡伯自治县</w:t>
      </w:r>
      <w:r>
        <w:rPr>
          <w:rFonts w:ascii="仿宋_GB2312" w:hAnsi="仿宋_GB2312" w:eastAsia="仿宋_GB2312"/>
          <w:sz w:val="32"/>
        </w:rPr>
        <w:t>不动产登记中心委托</w:t>
      </w:r>
      <w:r>
        <w:rPr>
          <w:rFonts w:hint="eastAsia" w:ascii="仿宋_GB2312" w:hAnsi="仿宋_GB2312" w:eastAsia="仿宋_GB2312"/>
          <w:sz w:val="32"/>
          <w:lang w:eastAsia="zh-CN"/>
        </w:rPr>
        <w:t>：</w:t>
      </w:r>
    </w:p>
    <w:p w14:paraId="6CD7BE49">
      <w:pPr>
        <w:spacing w:line="580" w:lineRule="exact"/>
        <w:ind w:firstLine="640"/>
        <w:jc w:val="both"/>
      </w:pPr>
      <w:r>
        <w:rPr>
          <w:rFonts w:ascii="仿宋_GB2312" w:hAnsi="仿宋_GB2312" w:eastAsia="仿宋_GB2312"/>
          <w:sz w:val="32"/>
        </w:rPr>
        <w:t>（1）承担本口岸辖区内（土地承包经营权）登记、房屋登记、林地登记等不动产登记发证具体工作。</w:t>
      </w:r>
    </w:p>
    <w:p w14:paraId="7D6B4F16">
      <w:pPr>
        <w:spacing w:line="580" w:lineRule="exact"/>
        <w:ind w:firstLine="640"/>
        <w:jc w:val="both"/>
      </w:pPr>
      <w:r>
        <w:rPr>
          <w:rFonts w:ascii="仿宋_GB2312" w:hAnsi="仿宋_GB2312" w:eastAsia="仿宋_GB2312"/>
          <w:sz w:val="32"/>
        </w:rPr>
        <w:t>（2）房地产交易管理的事宜，承担辖区内土地（土地承包经营权）登记、房屋登记、林地登记等不动产登记信息化建设工作。</w:t>
      </w:r>
    </w:p>
    <w:p w14:paraId="18196ABF">
      <w:pPr>
        <w:spacing w:line="580" w:lineRule="exact"/>
        <w:ind w:firstLine="640"/>
        <w:jc w:val="both"/>
      </w:pPr>
      <w:r>
        <w:rPr>
          <w:rFonts w:ascii="仿宋_GB2312" w:hAnsi="仿宋_GB2312" w:eastAsia="仿宋_GB2312"/>
          <w:sz w:val="32"/>
        </w:rPr>
        <w:t>（3）承担房地产交易和不动产登记档案的整理、保管、利用等工作。</w:t>
      </w:r>
    </w:p>
    <w:p w14:paraId="5FA27909">
      <w:pPr>
        <w:spacing w:line="640" w:lineRule="exact"/>
        <w:ind w:firstLine="640"/>
        <w:jc w:val="both"/>
        <w:outlineLvl w:val="2"/>
      </w:pPr>
      <w:r>
        <w:rPr>
          <w:rFonts w:ascii="黑体" w:hAnsi="黑体" w:eastAsia="黑体"/>
          <w:sz w:val="32"/>
        </w:rPr>
        <w:t>二、机构设置及人员情况</w:t>
      </w:r>
    </w:p>
    <w:p w14:paraId="722979A8">
      <w:pPr>
        <w:spacing w:line="580" w:lineRule="exact"/>
        <w:ind w:firstLine="640"/>
        <w:jc w:val="both"/>
      </w:pPr>
      <w:r>
        <w:rPr>
          <w:rFonts w:ascii="仿宋_GB2312" w:hAnsi="仿宋_GB2312" w:eastAsia="仿宋_GB2312"/>
          <w:sz w:val="32"/>
        </w:rPr>
        <w:t>伊犁哈萨克自治州自然资源局都拉塔口岸分局2024年度，实有人数0人，其中：在职人员0人，增加0人；离休人员0人，增加0人；退休人员0人,增加0人。</w:t>
      </w:r>
    </w:p>
    <w:p w14:paraId="4AA5DEDD">
      <w:pPr>
        <w:spacing w:line="580" w:lineRule="exact"/>
        <w:ind w:firstLine="640"/>
        <w:jc w:val="both"/>
      </w:pPr>
      <w:r>
        <w:rPr>
          <w:rFonts w:ascii="仿宋_GB2312" w:hAnsi="仿宋_GB2312" w:eastAsia="仿宋_GB2312"/>
          <w:sz w:val="32"/>
        </w:rPr>
        <w:t>伊犁哈萨克自治州自然资源局都拉塔口岸分局无下属预算单位，下设5个科室，分别是：办公室、财务室、综合业务室、地籍业务室、不动产登记室。</w:t>
      </w:r>
    </w:p>
    <w:p w14:paraId="116F5F21">
      <w:r>
        <w:br w:type="page"/>
      </w:r>
    </w:p>
    <w:p w14:paraId="095FE80A">
      <w:pPr>
        <w:spacing w:line="240" w:lineRule="auto"/>
        <w:jc w:val="center"/>
        <w:outlineLvl w:val="1"/>
      </w:pPr>
      <w:r>
        <w:rPr>
          <w:rFonts w:ascii="黑体" w:hAnsi="黑体" w:eastAsia="黑体"/>
          <w:sz w:val="32"/>
        </w:rPr>
        <w:t>第二部分 部门决算情况说明</w:t>
      </w:r>
    </w:p>
    <w:p w14:paraId="55063A4C">
      <w:pPr>
        <w:spacing w:line="640" w:lineRule="exact"/>
        <w:ind w:firstLine="640"/>
        <w:jc w:val="both"/>
        <w:outlineLvl w:val="2"/>
      </w:pPr>
      <w:r>
        <w:rPr>
          <w:rFonts w:ascii="黑体" w:hAnsi="黑体" w:eastAsia="黑体"/>
          <w:sz w:val="32"/>
        </w:rPr>
        <w:t>一、收入支出决算总体情况说明</w:t>
      </w:r>
    </w:p>
    <w:p w14:paraId="0BB4A753">
      <w:pPr>
        <w:spacing w:line="580" w:lineRule="exact"/>
        <w:ind w:firstLine="640"/>
        <w:jc w:val="both"/>
      </w:pPr>
      <w:r>
        <w:rPr>
          <w:rFonts w:ascii="仿宋_GB2312" w:hAnsi="仿宋_GB2312" w:eastAsia="仿宋_GB2312"/>
          <w:b/>
          <w:sz w:val="32"/>
        </w:rPr>
        <w:t>2024年度收入总计98.55万元，</w:t>
      </w:r>
      <w:r>
        <w:rPr>
          <w:rFonts w:ascii="仿宋_GB2312" w:hAnsi="仿宋_GB2312" w:eastAsia="仿宋_GB2312"/>
          <w:b w:val="0"/>
          <w:sz w:val="32"/>
        </w:rPr>
        <w:t>其中：本年收入合计98.55万元，使用非财政拨款结余（含专用结余）0.00万元，年初结转和结余0.00万元。</w:t>
      </w:r>
    </w:p>
    <w:p w14:paraId="64D794F2">
      <w:pPr>
        <w:spacing w:line="580" w:lineRule="exact"/>
        <w:ind w:firstLine="640"/>
        <w:jc w:val="both"/>
      </w:pPr>
      <w:r>
        <w:rPr>
          <w:rFonts w:ascii="仿宋_GB2312" w:hAnsi="仿宋_GB2312" w:eastAsia="仿宋_GB2312"/>
          <w:b/>
          <w:sz w:val="32"/>
        </w:rPr>
        <w:t>2024年度支出总计98.55万元，</w:t>
      </w:r>
      <w:r>
        <w:rPr>
          <w:rFonts w:ascii="仿宋_GB2312" w:hAnsi="仿宋_GB2312" w:eastAsia="仿宋_GB2312"/>
          <w:b w:val="0"/>
          <w:sz w:val="32"/>
        </w:rPr>
        <w:t>其中：本年支出合计98.55万元，结余分配0.00万元，年末结转和结余0.00万元。</w:t>
      </w:r>
    </w:p>
    <w:p w14:paraId="56DEE22F">
      <w:pPr>
        <w:spacing w:line="580" w:lineRule="exact"/>
        <w:ind w:firstLine="640"/>
        <w:jc w:val="both"/>
      </w:pPr>
      <w:r>
        <w:rPr>
          <w:rFonts w:ascii="仿宋_GB2312" w:hAnsi="仿宋_GB2312" w:eastAsia="仿宋_GB2312"/>
          <w:b w:val="0"/>
          <w:sz w:val="32"/>
        </w:rPr>
        <w:t>收入支出总体与上年相比，增加38.81万元，增长64.96%，主要原因是：1.本年增加自然资源事务费；2.本年编外人员工资调增，社保、公积金基数调增，人员经费增加。</w:t>
      </w:r>
    </w:p>
    <w:p w14:paraId="221FD917">
      <w:pPr>
        <w:spacing w:line="640" w:lineRule="exact"/>
        <w:ind w:firstLine="640"/>
        <w:jc w:val="both"/>
        <w:outlineLvl w:val="2"/>
      </w:pPr>
      <w:r>
        <w:rPr>
          <w:rFonts w:ascii="黑体" w:hAnsi="黑体" w:eastAsia="黑体"/>
          <w:sz w:val="32"/>
        </w:rPr>
        <w:t>二、收入决算情况说明</w:t>
      </w:r>
    </w:p>
    <w:p w14:paraId="10DF1F02">
      <w:pPr>
        <w:spacing w:line="580" w:lineRule="exact"/>
        <w:ind w:firstLine="640"/>
        <w:jc w:val="both"/>
      </w:pPr>
      <w:r>
        <w:rPr>
          <w:rFonts w:ascii="仿宋_GB2312" w:hAnsi="仿宋_GB2312" w:eastAsia="仿宋_GB2312"/>
          <w:b/>
          <w:sz w:val="32"/>
        </w:rPr>
        <w:t>本年收入98.55万元，</w:t>
      </w:r>
      <w:r>
        <w:rPr>
          <w:rFonts w:ascii="仿宋_GB2312" w:hAnsi="仿宋_GB2312" w:eastAsia="仿宋_GB2312"/>
          <w:b w:val="0"/>
          <w:sz w:val="32"/>
        </w:rPr>
        <w:t>其中：财政拨款收入98.55万元，占100.00%；上级补助收入0.00万元，占0.00%；事业收入0.00万元，占0.00%；经营收入0.00万元，占0.00%；附属单位上缴收入0.00万元，占0.00%；其他收入0.00万元，占0.00%。</w:t>
      </w:r>
    </w:p>
    <w:p w14:paraId="395B492C">
      <w:pPr>
        <w:spacing w:line="640" w:lineRule="exact"/>
        <w:ind w:firstLine="640"/>
        <w:jc w:val="both"/>
        <w:outlineLvl w:val="2"/>
      </w:pPr>
      <w:r>
        <w:rPr>
          <w:rFonts w:ascii="黑体" w:hAnsi="黑体" w:eastAsia="黑体"/>
          <w:sz w:val="32"/>
        </w:rPr>
        <w:t>三、支出决算情况说明</w:t>
      </w:r>
    </w:p>
    <w:p w14:paraId="6C8EE035">
      <w:pPr>
        <w:spacing w:line="580" w:lineRule="exact"/>
        <w:ind w:firstLine="640"/>
        <w:jc w:val="both"/>
      </w:pPr>
      <w:r>
        <w:rPr>
          <w:rFonts w:ascii="仿宋_GB2312" w:hAnsi="仿宋_GB2312" w:eastAsia="仿宋_GB2312"/>
          <w:b/>
          <w:sz w:val="32"/>
        </w:rPr>
        <w:t>本年支出98.55万元，</w:t>
      </w:r>
      <w:r>
        <w:rPr>
          <w:rFonts w:ascii="仿宋_GB2312" w:hAnsi="仿宋_GB2312" w:eastAsia="仿宋_GB2312"/>
          <w:b w:val="0"/>
          <w:sz w:val="32"/>
        </w:rPr>
        <w:t>其中：基本支出98.55万元，占100.00%；项目支出0.00万元，占0.00%；上缴上级支出0.00万元，占0.00%；经营支出0.00万元，占0.00%；对附属单位补助支出0.00万元，占0.00%。</w:t>
      </w:r>
    </w:p>
    <w:p w14:paraId="78BF53C4">
      <w:pPr>
        <w:spacing w:line="640" w:lineRule="exact"/>
        <w:ind w:firstLine="640"/>
        <w:jc w:val="both"/>
        <w:outlineLvl w:val="2"/>
      </w:pPr>
      <w:r>
        <w:rPr>
          <w:rFonts w:ascii="黑体" w:hAnsi="黑体" w:eastAsia="黑体"/>
          <w:sz w:val="32"/>
        </w:rPr>
        <w:t>四、财政拨款收入支出决算总体情况说明</w:t>
      </w:r>
    </w:p>
    <w:p w14:paraId="56858AAD">
      <w:pPr>
        <w:spacing w:line="580" w:lineRule="exact"/>
        <w:ind w:firstLine="640"/>
        <w:jc w:val="both"/>
      </w:pPr>
      <w:r>
        <w:rPr>
          <w:rFonts w:ascii="仿宋_GB2312" w:hAnsi="仿宋_GB2312" w:eastAsia="仿宋_GB2312"/>
          <w:b/>
          <w:sz w:val="32"/>
        </w:rPr>
        <w:t>2024年度财政拨款收入总计98.55万元，</w:t>
      </w:r>
      <w:r>
        <w:rPr>
          <w:rFonts w:ascii="仿宋_GB2312" w:hAnsi="仿宋_GB2312" w:eastAsia="仿宋_GB2312"/>
          <w:b w:val="0"/>
          <w:sz w:val="32"/>
        </w:rPr>
        <w:t>其中：年初财政拨款结转和结余0.00万元，本年财政拨款收入98.55万元。</w:t>
      </w:r>
      <w:r>
        <w:rPr>
          <w:rFonts w:ascii="仿宋_GB2312" w:hAnsi="仿宋_GB2312" w:eastAsia="仿宋_GB2312"/>
          <w:b/>
          <w:sz w:val="32"/>
        </w:rPr>
        <w:t>财政拨款支出总计98.55万元，</w:t>
      </w:r>
      <w:r>
        <w:rPr>
          <w:rFonts w:ascii="仿宋_GB2312" w:hAnsi="仿宋_GB2312" w:eastAsia="仿宋_GB2312"/>
          <w:b w:val="0"/>
          <w:sz w:val="32"/>
        </w:rPr>
        <w:t>其中：年末财政拨款结转和结余0.00万元，本年财政拨款支出98.55万元。</w:t>
      </w:r>
    </w:p>
    <w:p w14:paraId="674DC3DA">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增加38.81万元，增长64.96%，主要原因是：1.本年增加自然资源事务费；2.本年编外人员工资调增，社保、公积金基数调增，人员经费增加。</w:t>
      </w:r>
      <w:r>
        <w:rPr>
          <w:rFonts w:ascii="仿宋_GB2312" w:hAnsi="仿宋_GB2312" w:eastAsia="仿宋_GB2312"/>
          <w:b/>
          <w:sz w:val="32"/>
        </w:rPr>
        <w:t>与年初预算相比，</w:t>
      </w:r>
      <w:r>
        <w:rPr>
          <w:rFonts w:ascii="仿宋_GB2312" w:hAnsi="仿宋_GB2312" w:eastAsia="仿宋_GB2312"/>
          <w:b w:val="0"/>
          <w:sz w:val="32"/>
        </w:rPr>
        <w:t>年初预算数39.52万元，决算数98.55万元，预决算差异率149.37%，主要原因是：年中追加自然资源事务中介服务费，导致预决算存在差异。</w:t>
      </w:r>
    </w:p>
    <w:p w14:paraId="4C1B78DA">
      <w:pPr>
        <w:spacing w:line="640" w:lineRule="exact"/>
        <w:ind w:firstLine="640"/>
        <w:jc w:val="both"/>
        <w:outlineLvl w:val="2"/>
      </w:pPr>
      <w:r>
        <w:rPr>
          <w:rFonts w:ascii="黑体" w:hAnsi="黑体" w:eastAsia="黑体"/>
          <w:sz w:val="32"/>
        </w:rPr>
        <w:t>五、一般公共预算财政拨款支出决算情况说明</w:t>
      </w:r>
    </w:p>
    <w:p w14:paraId="21F3111B">
      <w:pPr>
        <w:spacing w:line="640" w:lineRule="exact"/>
        <w:ind w:firstLine="640"/>
        <w:jc w:val="both"/>
        <w:outlineLvl w:val="3"/>
      </w:pPr>
      <w:r>
        <w:rPr>
          <w:rFonts w:ascii="楷体_GB2312" w:hAnsi="楷体_GB2312" w:eastAsia="楷体_GB2312"/>
          <w:b/>
          <w:sz w:val="32"/>
        </w:rPr>
        <w:t>（一）一般公共预算财政拨款支出决算总体情况</w:t>
      </w:r>
    </w:p>
    <w:p w14:paraId="3F156EF1">
      <w:pPr>
        <w:spacing w:line="580" w:lineRule="exact"/>
        <w:ind w:firstLine="640"/>
        <w:jc w:val="both"/>
      </w:pPr>
      <w:r>
        <w:rPr>
          <w:rFonts w:ascii="仿宋_GB2312" w:hAnsi="仿宋_GB2312" w:eastAsia="仿宋_GB2312"/>
          <w:b/>
          <w:sz w:val="32"/>
        </w:rPr>
        <w:t>2024年度一般公共预算财政拨款支出98.55万元，</w:t>
      </w:r>
      <w:r>
        <w:rPr>
          <w:rFonts w:ascii="仿宋_GB2312" w:hAnsi="仿宋_GB2312" w:eastAsia="仿宋_GB2312"/>
          <w:b w:val="0"/>
          <w:sz w:val="32"/>
        </w:rPr>
        <w:t>占本年支出合计的100.00%。</w:t>
      </w:r>
      <w:r>
        <w:rPr>
          <w:rFonts w:ascii="仿宋_GB2312" w:hAnsi="仿宋_GB2312" w:eastAsia="仿宋_GB2312"/>
          <w:b/>
          <w:sz w:val="32"/>
        </w:rPr>
        <w:t>与上年相比，</w:t>
      </w:r>
      <w:r>
        <w:rPr>
          <w:rFonts w:ascii="仿宋_GB2312" w:hAnsi="仿宋_GB2312" w:eastAsia="仿宋_GB2312"/>
          <w:b w:val="0"/>
          <w:sz w:val="32"/>
        </w:rPr>
        <w:t>增加38.81万元，增长64.96%，主要原因是：1.本年增加自然资源事务费；2.本年编外人员工资调增，社保、公积金基数调增，人员经费增加。</w:t>
      </w:r>
      <w:r>
        <w:rPr>
          <w:rFonts w:ascii="仿宋_GB2312" w:hAnsi="仿宋_GB2312" w:eastAsia="仿宋_GB2312"/>
          <w:b/>
          <w:sz w:val="32"/>
        </w:rPr>
        <w:t>与年初预算相比,</w:t>
      </w:r>
      <w:r>
        <w:rPr>
          <w:rFonts w:ascii="仿宋_GB2312" w:hAnsi="仿宋_GB2312" w:eastAsia="仿宋_GB2312"/>
          <w:b w:val="0"/>
          <w:sz w:val="32"/>
        </w:rPr>
        <w:t>年初预算数39.52万元，决算数98.55万元，预决算差异率149.37%，主要原因是：年中追加自然资源事务中介服务费，导致预决算存在差异。</w:t>
      </w:r>
    </w:p>
    <w:p w14:paraId="403F0B49">
      <w:pPr>
        <w:spacing w:line="640" w:lineRule="exact"/>
        <w:ind w:firstLine="640"/>
        <w:jc w:val="both"/>
        <w:outlineLvl w:val="3"/>
      </w:pPr>
      <w:r>
        <w:rPr>
          <w:rFonts w:ascii="楷体_GB2312" w:hAnsi="楷体_GB2312" w:eastAsia="楷体_GB2312"/>
          <w:b/>
          <w:sz w:val="32"/>
        </w:rPr>
        <w:t>（二）一般公共预算财政拨款支出决算结构情况</w:t>
      </w:r>
    </w:p>
    <w:p w14:paraId="5E92C484">
      <w:pPr>
        <w:spacing w:line="580" w:lineRule="exact"/>
        <w:ind w:firstLine="640"/>
        <w:jc w:val="both"/>
      </w:pPr>
      <w:r>
        <w:rPr>
          <w:rFonts w:ascii="仿宋_GB2312" w:hAnsi="仿宋_GB2312" w:eastAsia="仿宋_GB2312"/>
          <w:b w:val="0"/>
          <w:sz w:val="32"/>
        </w:rPr>
        <w:t>1.社会保障和就业支出(类)3.23万元,占3.28%。</w:t>
      </w:r>
    </w:p>
    <w:p w14:paraId="039EAE60">
      <w:pPr>
        <w:spacing w:line="580" w:lineRule="exact"/>
        <w:ind w:firstLine="640"/>
        <w:jc w:val="both"/>
      </w:pPr>
      <w:r>
        <w:rPr>
          <w:rFonts w:ascii="仿宋_GB2312" w:hAnsi="仿宋_GB2312" w:eastAsia="仿宋_GB2312"/>
          <w:b w:val="0"/>
          <w:sz w:val="32"/>
        </w:rPr>
        <w:t>2.卫生健康支出(类)1.59万元,占1.61%。</w:t>
      </w:r>
    </w:p>
    <w:p w14:paraId="3C8382B4">
      <w:pPr>
        <w:spacing w:line="580" w:lineRule="exact"/>
        <w:ind w:firstLine="640"/>
        <w:jc w:val="both"/>
      </w:pPr>
      <w:r>
        <w:rPr>
          <w:rFonts w:ascii="仿宋_GB2312" w:hAnsi="仿宋_GB2312" w:eastAsia="仿宋_GB2312"/>
          <w:b w:val="0"/>
          <w:sz w:val="32"/>
        </w:rPr>
        <w:t>3.自然资源海洋气象等支出(类)92.08万元,占93.43%。</w:t>
      </w:r>
    </w:p>
    <w:p w14:paraId="56EB275F">
      <w:pPr>
        <w:spacing w:line="580" w:lineRule="exact"/>
        <w:ind w:firstLine="640"/>
        <w:jc w:val="both"/>
      </w:pPr>
      <w:r>
        <w:rPr>
          <w:rFonts w:ascii="仿宋_GB2312" w:hAnsi="仿宋_GB2312" w:eastAsia="仿宋_GB2312"/>
          <w:b w:val="0"/>
          <w:sz w:val="32"/>
        </w:rPr>
        <w:t>4.住房保障支出(类)1.64万元,占1.66%。</w:t>
      </w:r>
    </w:p>
    <w:p w14:paraId="59D558F7">
      <w:pPr>
        <w:spacing w:line="640" w:lineRule="exact"/>
        <w:ind w:firstLine="640"/>
        <w:jc w:val="both"/>
        <w:outlineLvl w:val="3"/>
      </w:pPr>
      <w:r>
        <w:rPr>
          <w:rFonts w:ascii="楷体_GB2312" w:hAnsi="楷体_GB2312" w:eastAsia="楷体_GB2312"/>
          <w:b/>
          <w:sz w:val="32"/>
        </w:rPr>
        <w:t>（三）一般公共预算财政拨款支出决算具体情况</w:t>
      </w:r>
    </w:p>
    <w:p w14:paraId="0762A8D3">
      <w:pPr>
        <w:spacing w:line="580" w:lineRule="exact"/>
        <w:ind w:firstLine="640"/>
        <w:jc w:val="both"/>
      </w:pPr>
      <w:r>
        <w:rPr>
          <w:rFonts w:ascii="仿宋_GB2312" w:hAnsi="仿宋_GB2312" w:eastAsia="仿宋_GB2312"/>
          <w:b w:val="0"/>
          <w:sz w:val="32"/>
        </w:rPr>
        <w:t>1.社会保障和就业支出(类)行政事业单位养老支出(款)机关事业单位基本养老保险缴费支出(项):支出决算数为3.09万元，比上年决算增加1.20万元，增长63.49%,主要原因是：本年编外人员工资基数调增，养老缴费基数上涨，相应支出增加。</w:t>
      </w:r>
    </w:p>
    <w:p w14:paraId="71C7D944">
      <w:pPr>
        <w:spacing w:line="580" w:lineRule="exact"/>
        <w:ind w:firstLine="640"/>
        <w:jc w:val="both"/>
      </w:pPr>
      <w:r>
        <w:rPr>
          <w:rFonts w:ascii="仿宋_GB2312" w:hAnsi="仿宋_GB2312" w:eastAsia="仿宋_GB2312"/>
          <w:b w:val="0"/>
          <w:sz w:val="32"/>
        </w:rPr>
        <w:t>2.社会保障和就业支出(类)其他社会保障和就业支出(款)其他社会保障和就业支出(项):支出决算数为0.14万元，比上年决算增加0.03万元，增长27.27%,主要原因是：本年编外人员工资基数调增，工伤、大病缴费基数上涨，相应支出增加。</w:t>
      </w:r>
    </w:p>
    <w:p w14:paraId="71BAEB35">
      <w:pPr>
        <w:spacing w:line="580" w:lineRule="exact"/>
        <w:ind w:firstLine="640"/>
        <w:jc w:val="both"/>
      </w:pPr>
      <w:r>
        <w:rPr>
          <w:rFonts w:ascii="仿宋_GB2312" w:hAnsi="仿宋_GB2312" w:eastAsia="仿宋_GB2312"/>
          <w:b w:val="0"/>
          <w:sz w:val="32"/>
        </w:rPr>
        <w:t>3.卫生健康支出(类)行政事业单位医疗(款)行政单位医疗(项):支出决算数为1.59万元，比上年决算增加0.65万元，增长69.15%,主要原因是：本年编外人员工资基数调增，医疗缴费基数上涨，相应支出增加。</w:t>
      </w:r>
    </w:p>
    <w:p w14:paraId="58170B50">
      <w:pPr>
        <w:spacing w:line="580" w:lineRule="exact"/>
        <w:ind w:firstLine="640"/>
        <w:jc w:val="both"/>
      </w:pPr>
      <w:r>
        <w:rPr>
          <w:rFonts w:ascii="仿宋_GB2312" w:hAnsi="仿宋_GB2312" w:eastAsia="仿宋_GB2312"/>
          <w:b w:val="0"/>
          <w:sz w:val="32"/>
        </w:rPr>
        <w:t>4.自然资源海洋气象等支出(类)自然资源事务(款)自然资源行业业务管理(项):支出决算数为50.11万元，比上年决算增加50.11万元，增长100.00%,主要原因是：本年新增自然资源事务中介服务费，导致经费较上年增加。</w:t>
      </w:r>
    </w:p>
    <w:p w14:paraId="3A27EE0D">
      <w:pPr>
        <w:spacing w:line="580" w:lineRule="exact"/>
        <w:ind w:firstLine="640"/>
        <w:jc w:val="both"/>
      </w:pPr>
      <w:r>
        <w:rPr>
          <w:rFonts w:ascii="仿宋_GB2312" w:hAnsi="仿宋_GB2312" w:eastAsia="仿宋_GB2312"/>
          <w:b w:val="0"/>
          <w:sz w:val="32"/>
        </w:rPr>
        <w:t>5.自然资源海洋气象等支出(类)自然资源事务(款)基础测绘与地理信息监管(项):支出决算数为10.00万元，比上年决算增加10.00万元，增长100.00%,主要原因是：本年新增国土资源测绘监管服务费。</w:t>
      </w:r>
    </w:p>
    <w:p w14:paraId="035F7D5A">
      <w:pPr>
        <w:spacing w:line="580" w:lineRule="exact"/>
        <w:ind w:firstLine="640"/>
        <w:jc w:val="both"/>
      </w:pPr>
      <w:r>
        <w:rPr>
          <w:rFonts w:ascii="仿宋_GB2312" w:hAnsi="仿宋_GB2312" w:eastAsia="仿宋_GB2312"/>
          <w:b w:val="0"/>
          <w:sz w:val="32"/>
        </w:rPr>
        <w:t>6.自然资源海洋气象等支出(类)自然资源事务(款)事业运行(项):支出决算数为31.97万元，比上年决算减少23.31万元，下降42.17%,主要原因是：本年减少中介服务费。</w:t>
      </w:r>
    </w:p>
    <w:p w14:paraId="15340AA2">
      <w:pPr>
        <w:spacing w:line="580" w:lineRule="exact"/>
        <w:ind w:firstLine="640"/>
        <w:jc w:val="both"/>
      </w:pPr>
      <w:r>
        <w:rPr>
          <w:rFonts w:ascii="仿宋_GB2312" w:hAnsi="仿宋_GB2312" w:eastAsia="仿宋_GB2312"/>
          <w:b w:val="0"/>
          <w:sz w:val="32"/>
        </w:rPr>
        <w:t>7.住房保障支出(类)住房改革支出(款)住房公积金(项):支出决算数为1.64万元，比上年决算增加0.12万元，增长7.89%,主要原因是：本年编外人员工资基数调增，公积金缴费基数上涨，相应支出增加。</w:t>
      </w:r>
    </w:p>
    <w:p w14:paraId="1CE5FA31">
      <w:pPr>
        <w:spacing w:line="640" w:lineRule="exact"/>
        <w:ind w:firstLine="640"/>
        <w:jc w:val="both"/>
        <w:outlineLvl w:val="2"/>
      </w:pPr>
      <w:r>
        <w:rPr>
          <w:rFonts w:ascii="黑体" w:hAnsi="黑体" w:eastAsia="黑体"/>
          <w:sz w:val="32"/>
        </w:rPr>
        <w:t>六、一般公共预算财政拨款基本支出决算情况说明</w:t>
      </w:r>
    </w:p>
    <w:p w14:paraId="6B4CD0BB">
      <w:pPr>
        <w:spacing w:line="580" w:lineRule="exact"/>
        <w:ind w:firstLine="640"/>
        <w:jc w:val="both"/>
      </w:pPr>
      <w:r>
        <w:rPr>
          <w:rFonts w:ascii="仿宋_GB2312" w:hAnsi="仿宋_GB2312" w:eastAsia="仿宋_GB2312"/>
          <w:b w:val="0"/>
          <w:sz w:val="32"/>
        </w:rPr>
        <w:t>2024年度一般公共预算财政拨款基本支出98.55万元，其中：</w:t>
      </w:r>
      <w:r>
        <w:rPr>
          <w:rFonts w:ascii="仿宋_GB2312" w:hAnsi="仿宋_GB2312" w:eastAsia="仿宋_GB2312"/>
          <w:b/>
          <w:sz w:val="32"/>
        </w:rPr>
        <w:t>人员经费21.77万元，</w:t>
      </w:r>
      <w:r>
        <w:rPr>
          <w:rFonts w:ascii="仿宋_GB2312" w:hAnsi="仿宋_GB2312" w:eastAsia="仿宋_GB2312"/>
          <w:b w:val="0"/>
          <w:sz w:val="32"/>
        </w:rPr>
        <w:t>包括：机关事业单位基本养老保险缴费、职工基本医疗保险缴费、其他社会保障缴费、住房公积金、其他工资福利支出。</w:t>
      </w:r>
    </w:p>
    <w:p w14:paraId="5D45984D">
      <w:pPr>
        <w:spacing w:line="580" w:lineRule="exact"/>
        <w:ind w:firstLine="640"/>
        <w:jc w:val="both"/>
      </w:pPr>
      <w:r>
        <w:rPr>
          <w:rFonts w:ascii="仿宋_GB2312" w:hAnsi="仿宋_GB2312" w:eastAsia="仿宋_GB2312"/>
          <w:b/>
          <w:sz w:val="32"/>
        </w:rPr>
        <w:t>公用经费76.78万元，</w:t>
      </w:r>
      <w:r>
        <w:rPr>
          <w:rFonts w:ascii="仿宋_GB2312" w:hAnsi="仿宋_GB2312" w:eastAsia="仿宋_GB2312"/>
          <w:b w:val="0"/>
          <w:sz w:val="32"/>
        </w:rPr>
        <w:t>包括：办公费、水费、电费、邮电费、取暖费、差旅费、维修（护）费、委托业务费、公务用车运行维护费。</w:t>
      </w:r>
    </w:p>
    <w:p w14:paraId="144904F9">
      <w:pPr>
        <w:spacing w:line="640" w:lineRule="exact"/>
        <w:ind w:firstLine="640"/>
        <w:jc w:val="both"/>
        <w:outlineLvl w:val="2"/>
      </w:pPr>
      <w:r>
        <w:rPr>
          <w:rFonts w:ascii="黑体" w:hAnsi="黑体" w:eastAsia="黑体"/>
          <w:sz w:val="32"/>
        </w:rPr>
        <w:t>七、政府性基金预算财政拨款收入支出决算情况说明</w:t>
      </w:r>
    </w:p>
    <w:p w14:paraId="679617BB">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35C88F01">
      <w:pPr>
        <w:spacing w:line="640" w:lineRule="exact"/>
        <w:ind w:firstLine="640"/>
        <w:jc w:val="both"/>
        <w:outlineLvl w:val="2"/>
      </w:pPr>
      <w:r>
        <w:rPr>
          <w:rFonts w:ascii="黑体" w:hAnsi="黑体" w:eastAsia="黑体"/>
          <w:sz w:val="32"/>
        </w:rPr>
        <w:t>八、国有资本经营预算财政拨款收入支出决算情况说明</w:t>
      </w:r>
    </w:p>
    <w:p w14:paraId="0180C3C5">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045AE339">
      <w:pPr>
        <w:spacing w:line="640" w:lineRule="exact"/>
        <w:ind w:firstLine="640"/>
        <w:jc w:val="both"/>
        <w:outlineLvl w:val="2"/>
      </w:pPr>
      <w:r>
        <w:rPr>
          <w:rFonts w:ascii="黑体" w:hAnsi="黑体" w:eastAsia="黑体"/>
          <w:sz w:val="32"/>
        </w:rPr>
        <w:t>九、财政拨款“三公”经费支出决算情况说明</w:t>
      </w:r>
    </w:p>
    <w:p w14:paraId="6F4807B2">
      <w:pPr>
        <w:spacing w:line="580" w:lineRule="exact"/>
        <w:ind w:firstLine="640"/>
        <w:jc w:val="both"/>
      </w:pPr>
      <w:r>
        <w:rPr>
          <w:rFonts w:ascii="仿宋_GB2312" w:hAnsi="仿宋_GB2312" w:eastAsia="仿宋_GB2312"/>
          <w:b/>
          <w:sz w:val="32"/>
        </w:rPr>
        <w:t>2024年度财政拨款“三公”经费支出2.67万元，</w:t>
      </w:r>
      <w:r>
        <w:rPr>
          <w:rFonts w:ascii="仿宋_GB2312" w:hAnsi="仿宋_GB2312" w:eastAsia="仿宋_GB2312"/>
          <w:b w:val="0"/>
          <w:sz w:val="32"/>
        </w:rPr>
        <w:t>比上年减少0.04万元，下降1.48%，主要原因是：严格落实中央八项规定精神，厉行节约，减少公务用车运行维护费。其中：因公出国（境）费支出0.00万元，占0.00%，比上年增加0.00万元，增长0.00%，主要原因是：2023年与2024年均未安排因公出国（境）费支出。公务用车购置及运行维护费支出2.67万元，占100.00%，比上年减少0.04万元，下降1.48%，主要原因是：严格落实中央八项规定精神，厉行节约，减少公务用车运行维护费。公务接待费支出0.00万元，占0.00%，比上年增加0.00万元，增长0.00%，主要原因是：2023年与2024年均未安排公务接待费支出。</w:t>
      </w:r>
    </w:p>
    <w:p w14:paraId="0CA50E4B">
      <w:pPr>
        <w:spacing w:line="580" w:lineRule="exact"/>
        <w:ind w:firstLine="640"/>
        <w:jc w:val="both"/>
      </w:pPr>
      <w:r>
        <w:rPr>
          <w:rFonts w:ascii="仿宋_GB2312" w:hAnsi="仿宋_GB2312" w:eastAsia="仿宋_GB2312"/>
          <w:b/>
          <w:sz w:val="32"/>
        </w:rPr>
        <w:t>具体情况如下：</w:t>
      </w:r>
    </w:p>
    <w:p w14:paraId="4F79B7D2">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5DA4838A">
      <w:pPr>
        <w:spacing w:line="580" w:lineRule="exact"/>
        <w:ind w:firstLine="640"/>
        <w:jc w:val="both"/>
      </w:pPr>
      <w:r>
        <w:rPr>
          <w:rFonts w:ascii="仿宋_GB2312" w:hAnsi="仿宋_GB2312" w:eastAsia="仿宋_GB2312"/>
          <w:b w:val="0"/>
          <w:sz w:val="32"/>
        </w:rPr>
        <w:t>公务用车购置及运行维护费2.67万元，其中：公务用车购置费0.00万元，公务用车运行维护费2.67万元。公务用车运行维护费开支内容包括车辆维修费</w:t>
      </w:r>
      <w:r>
        <w:rPr>
          <w:rFonts w:hint="eastAsia" w:ascii="仿宋_GB2312" w:hAnsi="仿宋_GB2312" w:eastAsia="仿宋_GB2312"/>
          <w:b w:val="0"/>
          <w:sz w:val="32"/>
          <w:lang w:eastAsia="zh-CN"/>
        </w:rPr>
        <w:t>、</w:t>
      </w:r>
      <w:bookmarkStart w:id="0" w:name="_GoBack"/>
      <w:bookmarkEnd w:id="0"/>
      <w:r>
        <w:rPr>
          <w:rFonts w:ascii="仿宋_GB2312" w:hAnsi="仿宋_GB2312" w:eastAsia="仿宋_GB2312"/>
          <w:b w:val="0"/>
          <w:sz w:val="32"/>
        </w:rPr>
        <w:t>油料费。公务用车购置数0辆，公务用车保有量1辆。国有资产占用情况中固定资产车辆1辆，与公务用车保有量差异原因是：本单位固定资产车辆与公务用车保有量一致无差异。</w:t>
      </w:r>
    </w:p>
    <w:p w14:paraId="2B47756C">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13A09E94">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3.00万元，决算数2.67万元，预决算差异率-11.00%，主要原因是：严格落实中央八项规定精神，厉行节约，减少公务用车使用频次，燃油费减少。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3.00万元，决算数2.67万元，预决算差异率-11.00%，主要原因是：严格落实中央八项规定精神，厉行节约，减少公务用车使用频次，燃油费减少。公务接待费全年预算数0.00万元，决算数0.00万元，预决算差异率0.00%，主要原因是：本单位无公务接待费。</w:t>
      </w:r>
    </w:p>
    <w:p w14:paraId="5D38453E">
      <w:pPr>
        <w:spacing w:line="640" w:lineRule="exact"/>
        <w:ind w:firstLine="640"/>
        <w:jc w:val="both"/>
        <w:outlineLvl w:val="2"/>
      </w:pPr>
      <w:r>
        <w:rPr>
          <w:rFonts w:ascii="黑体" w:hAnsi="黑体" w:eastAsia="黑体"/>
          <w:sz w:val="32"/>
        </w:rPr>
        <w:t>十、其他重要事项的情况说明</w:t>
      </w:r>
    </w:p>
    <w:p w14:paraId="6C7F8A30">
      <w:pPr>
        <w:spacing w:line="640" w:lineRule="exact"/>
        <w:ind w:firstLine="640"/>
        <w:jc w:val="both"/>
        <w:outlineLvl w:val="3"/>
      </w:pPr>
      <w:r>
        <w:rPr>
          <w:rFonts w:ascii="楷体_GB2312" w:hAnsi="楷体_GB2312" w:eastAsia="楷体_GB2312"/>
          <w:b/>
          <w:sz w:val="32"/>
        </w:rPr>
        <w:t>（一）机关运行经费及公用经费支出情况</w:t>
      </w:r>
    </w:p>
    <w:p w14:paraId="52C9F85C">
      <w:pPr>
        <w:spacing w:line="580" w:lineRule="exact"/>
        <w:ind w:firstLine="640"/>
        <w:jc w:val="both"/>
      </w:pPr>
      <w:r>
        <w:rPr>
          <w:rFonts w:ascii="仿宋_GB2312" w:hAnsi="仿宋_GB2312" w:eastAsia="仿宋_GB2312"/>
          <w:b w:val="0"/>
          <w:sz w:val="32"/>
        </w:rPr>
        <w:t>2024年度伊犁哈萨克自治州自然资源局都拉塔口岸分局（行政单位和参照公务员法管理事业单位）机关运行经费支出76.78万元，比上年增加36.06万元，增长88.56%，主要原因是：本年增加自然资源事务中介服务，导致委托业务费较上年增加。</w:t>
      </w:r>
    </w:p>
    <w:p w14:paraId="63DD3772">
      <w:pPr>
        <w:spacing w:line="640" w:lineRule="exact"/>
        <w:ind w:firstLine="640"/>
        <w:jc w:val="both"/>
        <w:outlineLvl w:val="3"/>
      </w:pPr>
      <w:r>
        <w:rPr>
          <w:rFonts w:ascii="楷体_GB2312" w:hAnsi="楷体_GB2312" w:eastAsia="楷体_GB2312"/>
          <w:b/>
          <w:sz w:val="32"/>
        </w:rPr>
        <w:t>（二）政府采购情况</w:t>
      </w:r>
    </w:p>
    <w:p w14:paraId="2D2F5AAA">
      <w:pPr>
        <w:spacing w:line="580" w:lineRule="exact"/>
        <w:ind w:firstLine="640"/>
        <w:jc w:val="both"/>
      </w:pPr>
      <w:r>
        <w:rPr>
          <w:rFonts w:ascii="仿宋_GB2312" w:hAnsi="仿宋_GB2312" w:eastAsia="仿宋_GB2312"/>
          <w:b w:val="0"/>
          <w:sz w:val="32"/>
        </w:rPr>
        <w:t>2024年度政府采购支出总额0.00万元，其中：政府采购货物支出0.00万元、政府采购工程支出0.00万元、政府采购服务支出0.00万元。</w:t>
      </w:r>
    </w:p>
    <w:p w14:paraId="7A7BCC86">
      <w:pPr>
        <w:spacing w:line="580" w:lineRule="exact"/>
        <w:ind w:firstLine="640"/>
        <w:jc w:val="both"/>
      </w:pPr>
      <w:r>
        <w:rPr>
          <w:rFonts w:ascii="仿宋_GB2312" w:hAnsi="仿宋_GB2312" w:eastAsia="仿宋_GB2312"/>
          <w:b w:val="0"/>
          <w:sz w:val="32"/>
        </w:rPr>
        <w:t>授予中小企业合同金额0.00万元，占政府采购支出总额的0.00%，其中：授予小微企业合同金额0.00万元，占政府采购支出总额的0.00%。</w:t>
      </w:r>
    </w:p>
    <w:p w14:paraId="4F416AF7">
      <w:pPr>
        <w:spacing w:line="640" w:lineRule="exact"/>
        <w:ind w:firstLine="640"/>
        <w:jc w:val="both"/>
        <w:outlineLvl w:val="3"/>
      </w:pPr>
      <w:r>
        <w:rPr>
          <w:rFonts w:ascii="楷体_GB2312" w:hAnsi="楷体_GB2312" w:eastAsia="楷体_GB2312"/>
          <w:b/>
          <w:sz w:val="32"/>
        </w:rPr>
        <w:t>（三）国有资产占用情况说明</w:t>
      </w:r>
    </w:p>
    <w:p w14:paraId="3CFBA821">
      <w:pPr>
        <w:spacing w:line="580" w:lineRule="exact"/>
        <w:ind w:firstLine="640"/>
        <w:jc w:val="both"/>
      </w:pPr>
      <w:r>
        <w:rPr>
          <w:rFonts w:ascii="仿宋_GB2312" w:hAnsi="仿宋_GB2312" w:eastAsia="仿宋_GB2312"/>
          <w:b w:val="0"/>
          <w:sz w:val="32"/>
        </w:rPr>
        <w:t>截至2024年12月31日，房屋0.00平方米，价值0.00万元。车辆1辆，价值31.89万元，其中：副部（省）级及以上领导用车0辆、主要负责人用车0辆、机要通信用车0辆、应急保障用车0辆、执法执勤用车0辆、特种专业技术用车0辆、离退休干部服务用车0辆、其他用车1辆，其他用车主要是：一般公务用车。单价100万元（含）以上设备（不含车辆）0台（套）。</w:t>
      </w:r>
    </w:p>
    <w:p w14:paraId="5E58886F">
      <w:pPr>
        <w:spacing w:line="640" w:lineRule="exact"/>
        <w:ind w:firstLine="640"/>
        <w:jc w:val="both"/>
        <w:outlineLvl w:val="2"/>
      </w:pPr>
      <w:r>
        <w:rPr>
          <w:rFonts w:ascii="黑体" w:hAnsi="黑体" w:eastAsia="黑体"/>
          <w:sz w:val="32"/>
        </w:rPr>
        <w:t>十一、预算绩效的情况说明</w:t>
      </w:r>
    </w:p>
    <w:p w14:paraId="37426F8F">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98.55万元，实际执行总额98.55万元；预算绩效评价项目0个，全年预算数0.00万元，全年执行数0.00万元。预算绩效管理取得的成效：本单位无预算项目绩效自评表。发现的问题及原因：本单位无预算项目绩效自评表。下一步改进措施：本单位无预算项目绩效自评表。具体附整体支出绩效自评表。</w:t>
      </w:r>
    </w:p>
    <w:p w14:paraId="1409BE8C">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14:paraId="05F88494">
        <w:tblPrEx>
          <w:tblCellMar>
            <w:top w:w="0" w:type="dxa"/>
            <w:left w:w="108" w:type="dxa"/>
            <w:bottom w:w="0" w:type="dxa"/>
            <w:right w:w="108" w:type="dxa"/>
          </w:tblCellMar>
        </w:tblPrEx>
        <w:tc>
          <w:tcPr>
            <w:tcW w:w="8840" w:type="dxa"/>
            <w:gridSpan w:val="8"/>
            <w:vAlign w:val="center"/>
          </w:tcPr>
          <w:p w14:paraId="58655F4E">
            <w:pPr>
              <w:jc w:val="center"/>
            </w:pPr>
            <w:r>
              <w:rPr>
                <w:rFonts w:ascii="宋体" w:hAnsi="宋体" w:eastAsia="宋体"/>
                <w:sz w:val="24"/>
              </w:rPr>
              <w:t>单位整体支出绩效自评表</w:t>
            </w:r>
          </w:p>
        </w:tc>
      </w:tr>
      <w:tr w14:paraId="65B60101">
        <w:tblPrEx>
          <w:tblCellMar>
            <w:top w:w="0" w:type="dxa"/>
            <w:left w:w="108" w:type="dxa"/>
            <w:bottom w:w="0" w:type="dxa"/>
            <w:right w:w="108" w:type="dxa"/>
          </w:tblCellMar>
        </w:tblPrEx>
        <w:tc>
          <w:tcPr>
            <w:tcW w:w="8840" w:type="dxa"/>
            <w:gridSpan w:val="8"/>
            <w:vAlign w:val="center"/>
          </w:tcPr>
          <w:p w14:paraId="7AD3E4D0">
            <w:pPr>
              <w:jc w:val="center"/>
            </w:pPr>
            <w:r>
              <w:rPr>
                <w:rFonts w:ascii="宋体" w:hAnsi="宋体" w:eastAsia="宋体"/>
                <w:sz w:val="24"/>
              </w:rPr>
              <w:t>（2024年度）</w:t>
            </w:r>
          </w:p>
        </w:tc>
      </w:tr>
      <w:tr w14:paraId="47A4029A">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3EF6CE5">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F3B0A8C">
            <w:pPr>
              <w:jc w:val="center"/>
            </w:pPr>
            <w:r>
              <w:rPr>
                <w:rFonts w:ascii="宋体" w:hAnsi="宋体" w:eastAsia="宋体"/>
                <w:sz w:val="16"/>
              </w:rPr>
              <w:t>伊犁哈萨克自治州自然资源局都拉塔口岸分局</w:t>
            </w:r>
          </w:p>
        </w:tc>
      </w:tr>
      <w:tr w14:paraId="57138BC2">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6631514">
            <w:pPr>
              <w:jc w:val="center"/>
            </w:pPr>
            <w:r>
              <w:rPr>
                <w:rFonts w:ascii="宋体" w:hAnsi="宋体" w:eastAsia="宋体"/>
                <w:sz w:val="16"/>
              </w:rPr>
              <w:t>部门资金（万元）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6F44056">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CB5CCEE">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DE09169">
            <w:pPr>
              <w:jc w:val="center"/>
            </w:pPr>
            <w:r>
              <w:rPr>
                <w:rFonts w:ascii="宋体" w:hAnsi="宋体" w:eastAsia="宋体"/>
                <w:sz w:val="16"/>
              </w:rPr>
              <w:t>全年预算数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0A25656">
            <w:pPr>
              <w:jc w:val="center"/>
            </w:pPr>
            <w:r>
              <w:rPr>
                <w:rFonts w:ascii="宋体" w:hAnsi="宋体" w:eastAsia="宋体"/>
                <w:sz w:val="16"/>
              </w:rPr>
              <w:t>全年执行数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7B8013E">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F7A5185">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DDB6E7F">
            <w:pPr>
              <w:jc w:val="center"/>
            </w:pPr>
            <w:r>
              <w:rPr>
                <w:rFonts w:ascii="宋体" w:hAnsi="宋体" w:eastAsia="宋体"/>
                <w:sz w:val="16"/>
              </w:rPr>
              <w:t>得分</w:t>
            </w:r>
          </w:p>
        </w:tc>
      </w:tr>
      <w:tr w14:paraId="0842E2EA">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FEB169B"/>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69548B5">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67F3B68">
            <w:pPr>
              <w:jc w:val="center"/>
            </w:pPr>
            <w:r>
              <w:rPr>
                <w:rFonts w:ascii="宋体" w:hAnsi="宋体" w:eastAsia="宋体"/>
                <w:sz w:val="16"/>
              </w:rPr>
              <w:t>39.52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1225B5F">
            <w:pPr>
              <w:jc w:val="center"/>
            </w:pPr>
            <w:r>
              <w:rPr>
                <w:rFonts w:ascii="宋体" w:hAnsi="宋体" w:eastAsia="宋体"/>
                <w:sz w:val="16"/>
              </w:rPr>
              <w:t>98.55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2EFA47C">
            <w:pPr>
              <w:jc w:val="center"/>
            </w:pPr>
            <w:r>
              <w:rPr>
                <w:rFonts w:ascii="宋体" w:hAnsi="宋体" w:eastAsia="宋体"/>
                <w:sz w:val="16"/>
              </w:rPr>
              <w:t>98.55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882D41A">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65E115D">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E3618EC">
            <w:pPr>
              <w:jc w:val="center"/>
            </w:pPr>
            <w:r>
              <w:rPr>
                <w:rFonts w:ascii="宋体" w:hAnsi="宋体" w:eastAsia="宋体"/>
                <w:sz w:val="16"/>
              </w:rPr>
              <w:t>10</w:t>
            </w:r>
          </w:p>
        </w:tc>
      </w:tr>
      <w:tr w14:paraId="740D31DA">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6D803BF"/>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9BEA358">
            <w:pPr>
              <w:jc w:val="center"/>
            </w:pPr>
            <w:r>
              <w:rPr>
                <w:rFonts w:ascii="宋体" w:hAnsi="宋体" w:eastAsia="宋体"/>
                <w:sz w:val="16"/>
              </w:rPr>
              <w:t>上级资金：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42AE38C">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D22F14F">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7F12151">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2A7BC57">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5E0458A">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68C1828">
            <w:pPr>
              <w:jc w:val="center"/>
            </w:pPr>
            <w:r>
              <w:rPr>
                <w:rFonts w:ascii="宋体" w:hAnsi="宋体" w:eastAsia="宋体"/>
                <w:sz w:val="16"/>
              </w:rPr>
              <w:t>-</w:t>
            </w:r>
          </w:p>
        </w:tc>
      </w:tr>
      <w:tr w14:paraId="334883C4">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E443ED8"/>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8279F93">
            <w:pPr>
              <w:jc w:val="center"/>
            </w:pPr>
            <w:r>
              <w:rPr>
                <w:rFonts w:ascii="宋体" w:hAnsi="宋体" w:eastAsia="宋体"/>
                <w:sz w:val="16"/>
              </w:rPr>
              <w:t>本级资金：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A48B624">
            <w:pPr>
              <w:jc w:val="center"/>
            </w:pPr>
            <w:r>
              <w:rPr>
                <w:rFonts w:ascii="宋体" w:hAnsi="宋体" w:eastAsia="宋体"/>
                <w:sz w:val="16"/>
              </w:rPr>
              <w:t>39.52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5436135">
            <w:pPr>
              <w:jc w:val="center"/>
            </w:pPr>
            <w:r>
              <w:rPr>
                <w:rFonts w:ascii="宋体" w:hAnsi="宋体" w:eastAsia="宋体"/>
                <w:sz w:val="16"/>
              </w:rPr>
              <w:t>98.55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259E2E4">
            <w:pPr>
              <w:jc w:val="center"/>
            </w:pPr>
            <w:r>
              <w:rPr>
                <w:rFonts w:ascii="宋体" w:hAnsi="宋体" w:eastAsia="宋体"/>
                <w:sz w:val="16"/>
              </w:rPr>
              <w:t>98.55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94F7C78">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2DB844F">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C553DF6">
            <w:pPr>
              <w:jc w:val="center"/>
            </w:pPr>
            <w:r>
              <w:rPr>
                <w:rFonts w:ascii="宋体" w:hAnsi="宋体" w:eastAsia="宋体"/>
                <w:sz w:val="16"/>
              </w:rPr>
              <w:t>-</w:t>
            </w:r>
          </w:p>
        </w:tc>
      </w:tr>
      <w:tr w14:paraId="57333C8D">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A398F92"/>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22DA911">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2156B64">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3218A11">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3A641B6">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8EDCBEA">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EFB04F7">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28B93C2">
            <w:pPr>
              <w:jc w:val="center"/>
            </w:pPr>
            <w:r>
              <w:rPr>
                <w:rFonts w:ascii="宋体" w:hAnsi="宋体" w:eastAsia="宋体"/>
                <w:sz w:val="16"/>
              </w:rPr>
              <w:t>-</w:t>
            </w:r>
          </w:p>
        </w:tc>
      </w:tr>
      <w:tr w14:paraId="2885A07B">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F4988B2">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3603DD2">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A59CBBA">
            <w:pPr>
              <w:jc w:val="center"/>
            </w:pPr>
            <w:r>
              <w:rPr>
                <w:rFonts w:ascii="宋体" w:hAnsi="宋体" w:eastAsia="宋体"/>
                <w:sz w:val="16"/>
              </w:rPr>
              <w:t>实际完成情况</w:t>
            </w:r>
          </w:p>
        </w:tc>
      </w:tr>
      <w:tr w14:paraId="2A7AFA38">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68776BB"/>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41E536D">
            <w:pPr>
              <w:jc w:val="both"/>
            </w:pPr>
            <w:r>
              <w:rPr>
                <w:rFonts w:ascii="宋体" w:hAnsi="宋体" w:eastAsia="宋体"/>
                <w:sz w:val="16"/>
              </w:rPr>
              <w:t>按照伊犁州自然资源局都拉塔口岸分局2024年度工作计划：一是解决兵地“三调作业线”问题，对接调整2.75平方公里行政界线；二是做好国有建设用地出让工作，收缴土地出让金422.4万元；三是积极跑办三类矿权的设立工作，拟在《察布查尔锡伯自治县矿业权设置规划》中设立口岸三类矿权1个协调；四是做好口岸17.5平方公里国土空间规划编制工作，计划6月开始做好现规划面积10.2平方公里和后期7.3平方公里规划的妥善</w:t>
            </w:r>
            <w:r>
              <w:rPr>
                <w:rFonts w:hint="eastAsia" w:ascii="宋体" w:hAnsi="宋体"/>
                <w:sz w:val="16"/>
                <w:lang w:eastAsia="zh-CN"/>
              </w:rPr>
              <w:t>连接</w:t>
            </w:r>
            <w:r>
              <w:rPr>
                <w:rFonts w:ascii="宋体" w:hAnsi="宋体" w:eastAsia="宋体"/>
                <w:sz w:val="16"/>
              </w:rPr>
              <w:t>。</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76BF075">
            <w:pPr>
              <w:jc w:val="both"/>
            </w:pPr>
            <w:r>
              <w:rPr>
                <w:rFonts w:ascii="宋体" w:hAnsi="宋体" w:eastAsia="宋体"/>
                <w:sz w:val="16"/>
              </w:rPr>
              <w:t>一是收缴土地出让金金额，有效完成收缴工作，为今后的工作奠定了基础，助力都拉塔口岸经济发展。二是国土空间规划面积，按照工作计划已完成11.58平方公里，引领了口岸规划建设。三是国土空间规划启动时间，已按照时间节点完成此项工作，使国土空间详细清晰，更加完善。</w:t>
            </w:r>
          </w:p>
        </w:tc>
      </w:tr>
      <w:tr w14:paraId="141B8D23">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5624DCD">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BDEA09A">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0A99BBB">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3A5708A">
            <w:pPr>
              <w:jc w:val="center"/>
            </w:pPr>
            <w:r>
              <w:rPr>
                <w:rFonts w:ascii="宋体" w:hAnsi="宋体" w:eastAsia="宋体"/>
                <w:sz w:val="16"/>
              </w:rPr>
              <w:t>预期指标值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DD99870">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3370334">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828F79E">
            <w:pPr>
              <w:jc w:val="center"/>
            </w:pPr>
            <w:r>
              <w:rPr>
                <w:rFonts w:ascii="宋体" w:hAnsi="宋体" w:eastAsia="宋体"/>
                <w:sz w:val="16"/>
              </w:rPr>
              <w:t>实际完成指标值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A36EF60">
            <w:pPr>
              <w:jc w:val="center"/>
            </w:pPr>
            <w:r>
              <w:rPr>
                <w:rFonts w:ascii="宋体" w:hAnsi="宋体" w:eastAsia="宋体"/>
                <w:sz w:val="16"/>
              </w:rPr>
              <w:t>得分</w:t>
            </w:r>
          </w:p>
        </w:tc>
      </w:tr>
      <w:tr w14:paraId="0104ACF9">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2EFC719">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1597FB8">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3EB7114">
            <w:pPr>
              <w:jc w:val="center"/>
            </w:pPr>
            <w:r>
              <w:rPr>
                <w:rFonts w:ascii="宋体" w:hAnsi="宋体" w:eastAsia="宋体"/>
                <w:sz w:val="16"/>
              </w:rPr>
              <w:t>调整界线面积</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076E381">
            <w:pPr>
              <w:jc w:val="center"/>
            </w:pPr>
            <w:r>
              <w:rPr>
                <w:rFonts w:ascii="宋体" w:hAnsi="宋体" w:eastAsia="宋体"/>
                <w:sz w:val="16"/>
              </w:rPr>
              <w:t>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57B393F">
            <w:pPr>
              <w:jc w:val="center"/>
            </w:pPr>
            <w:r>
              <w:rPr>
                <w:rFonts w:ascii="宋体" w:hAnsi="宋体" w:eastAsia="宋体"/>
                <w:sz w:val="16"/>
              </w:rPr>
              <w:t>伊犁州自然资源局都拉塔口岸分局2024年度工作计划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8FD8341">
            <w:pPr>
              <w:jc w:val="center"/>
            </w:pPr>
            <w:r>
              <w:rPr>
                <w:rFonts w:ascii="宋体" w:hAnsi="宋体" w:eastAsia="宋体"/>
                <w:sz w:val="16"/>
              </w:rPr>
              <w:t>20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C713E1E">
            <w:pPr>
              <w:jc w:val="center"/>
            </w:pPr>
            <w:r>
              <w:rPr>
                <w:rFonts w:ascii="宋体" w:hAnsi="宋体" w:eastAsia="宋体"/>
                <w:sz w:val="16"/>
              </w:rPr>
              <w:t>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BE73368">
            <w:pPr>
              <w:jc w:val="center"/>
            </w:pPr>
            <w:r>
              <w:rPr>
                <w:rFonts w:ascii="宋体" w:hAnsi="宋体" w:eastAsia="宋体"/>
                <w:sz w:val="16"/>
              </w:rPr>
              <w:t>0</w:t>
            </w:r>
          </w:p>
        </w:tc>
      </w:tr>
      <w:tr w14:paraId="4BBD715D">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59A52DA"/>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4FA8AE2"/>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C4AB302">
            <w:pPr>
              <w:jc w:val="center"/>
            </w:pPr>
            <w:r>
              <w:rPr>
                <w:rFonts w:ascii="宋体" w:hAnsi="宋体" w:eastAsia="宋体"/>
                <w:sz w:val="16"/>
              </w:rPr>
              <w:t>收缴土地出让金金额</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EC61FAF">
            <w:pPr>
              <w:jc w:val="center"/>
            </w:pPr>
            <w:r>
              <w:rPr>
                <w:rFonts w:ascii="宋体" w:hAnsi="宋体" w:eastAsia="宋体"/>
                <w:sz w:val="16"/>
              </w:rPr>
              <w:t>432.88万元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49D8DCB">
            <w:pPr>
              <w:jc w:val="center"/>
            </w:pPr>
            <w:r>
              <w:rPr>
                <w:rFonts w:ascii="宋体" w:hAnsi="宋体" w:eastAsia="宋体"/>
                <w:sz w:val="16"/>
              </w:rPr>
              <w:t>伊犁州自然资源局都拉塔口岸分局2024年度工作计划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3CEAA0F">
            <w:pPr>
              <w:jc w:val="center"/>
            </w:pPr>
            <w:r>
              <w:rPr>
                <w:rFonts w:ascii="宋体" w:hAnsi="宋体" w:eastAsia="宋体"/>
                <w:sz w:val="16"/>
              </w:rPr>
              <w:t>20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B32BD58">
            <w:pPr>
              <w:jc w:val="center"/>
            </w:pPr>
            <w:r>
              <w:rPr>
                <w:rFonts w:ascii="宋体" w:hAnsi="宋体" w:eastAsia="宋体"/>
                <w:sz w:val="16"/>
              </w:rPr>
              <w:t>432.88万元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74D43AD">
            <w:pPr>
              <w:jc w:val="center"/>
            </w:pPr>
            <w:r>
              <w:rPr>
                <w:rFonts w:ascii="宋体" w:hAnsi="宋体" w:eastAsia="宋体"/>
                <w:sz w:val="16"/>
              </w:rPr>
              <w:t>20</w:t>
            </w:r>
          </w:p>
        </w:tc>
      </w:tr>
      <w:tr w14:paraId="7BE75DBB">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862B6C4"/>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2FEF633"/>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C3C4D61">
            <w:pPr>
              <w:jc w:val="center"/>
            </w:pPr>
            <w:r>
              <w:rPr>
                <w:rFonts w:ascii="宋体" w:hAnsi="宋体" w:eastAsia="宋体"/>
                <w:sz w:val="16"/>
              </w:rPr>
              <w:t>申请三类矿权数量</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A9F9BCD">
            <w:pPr>
              <w:jc w:val="center"/>
            </w:pPr>
            <w:r>
              <w:rPr>
                <w:rFonts w:ascii="宋体" w:hAnsi="宋体" w:eastAsia="宋体"/>
                <w:sz w:val="16"/>
              </w:rPr>
              <w:t>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5B684BA">
            <w:pPr>
              <w:jc w:val="center"/>
            </w:pPr>
            <w:r>
              <w:rPr>
                <w:rFonts w:ascii="宋体" w:hAnsi="宋体" w:eastAsia="宋体"/>
                <w:sz w:val="16"/>
              </w:rPr>
              <w:t>伊犁州自然资源局都拉塔口岸分局2024年度工作计划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2A10816">
            <w:pPr>
              <w:jc w:val="center"/>
            </w:pPr>
            <w:r>
              <w:rPr>
                <w:rFonts w:ascii="宋体" w:hAnsi="宋体" w:eastAsia="宋体"/>
                <w:sz w:val="16"/>
              </w:rPr>
              <w:t>20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D47FDE1">
            <w:pPr>
              <w:jc w:val="center"/>
            </w:pPr>
            <w:r>
              <w:rPr>
                <w:rFonts w:ascii="宋体" w:hAnsi="宋体" w:eastAsia="宋体"/>
                <w:sz w:val="16"/>
              </w:rPr>
              <w:t>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455A1C9">
            <w:pPr>
              <w:jc w:val="center"/>
            </w:pPr>
            <w:r>
              <w:rPr>
                <w:rFonts w:ascii="宋体" w:hAnsi="宋体" w:eastAsia="宋体"/>
                <w:sz w:val="16"/>
              </w:rPr>
              <w:t>0</w:t>
            </w:r>
          </w:p>
        </w:tc>
      </w:tr>
      <w:tr w14:paraId="7338CA96">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32B239C"/>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AFCAB36"/>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FAE79E8">
            <w:pPr>
              <w:jc w:val="center"/>
            </w:pPr>
            <w:r>
              <w:rPr>
                <w:rFonts w:ascii="宋体" w:hAnsi="宋体" w:eastAsia="宋体"/>
                <w:sz w:val="16"/>
              </w:rPr>
              <w:t>国土空间规划面积</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B7E7E46">
            <w:pPr>
              <w:jc w:val="center"/>
            </w:pPr>
            <w:r>
              <w:rPr>
                <w:rFonts w:ascii="宋体" w:hAnsi="宋体" w:eastAsia="宋体"/>
                <w:sz w:val="16"/>
              </w:rPr>
              <w:t>11.58平方公里</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1D769C2">
            <w:pPr>
              <w:jc w:val="center"/>
            </w:pPr>
            <w:r>
              <w:rPr>
                <w:rFonts w:ascii="宋体" w:hAnsi="宋体" w:eastAsia="宋体"/>
                <w:sz w:val="16"/>
              </w:rPr>
              <w:t>伊犁州自然资源局都拉塔口岸分局2024年度工作计划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6C0DD27">
            <w:pPr>
              <w:jc w:val="center"/>
            </w:pPr>
            <w:r>
              <w:rPr>
                <w:rFonts w:ascii="宋体" w:hAnsi="宋体" w:eastAsia="宋体"/>
                <w:sz w:val="16"/>
              </w:rPr>
              <w:t>20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BCAB4D2">
            <w:pPr>
              <w:jc w:val="center"/>
            </w:pPr>
            <w:r>
              <w:rPr>
                <w:rFonts w:ascii="宋体" w:hAnsi="宋体" w:eastAsia="宋体"/>
                <w:sz w:val="16"/>
              </w:rPr>
              <w:t>11.58平方公里</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7188A6B">
            <w:pPr>
              <w:jc w:val="center"/>
            </w:pPr>
            <w:r>
              <w:rPr>
                <w:rFonts w:ascii="宋体" w:hAnsi="宋体" w:eastAsia="宋体"/>
                <w:sz w:val="16"/>
              </w:rPr>
              <w:t>13.23</w:t>
            </w:r>
          </w:p>
        </w:tc>
      </w:tr>
      <w:tr w14:paraId="18B90AF1">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AD02549"/>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090FA43">
            <w:pPr>
              <w:jc w:val="center"/>
            </w:pPr>
            <w:r>
              <w:rPr>
                <w:rFonts w:ascii="宋体" w:hAnsi="宋体" w:eastAsia="宋体"/>
                <w:sz w:val="16"/>
              </w:rPr>
              <w:t>时效指标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F426C18">
            <w:pPr>
              <w:jc w:val="center"/>
            </w:pPr>
            <w:r>
              <w:rPr>
                <w:rFonts w:ascii="宋体" w:hAnsi="宋体" w:eastAsia="宋体"/>
                <w:sz w:val="16"/>
              </w:rPr>
              <w:t>国土空间规划启动时间</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5A57611">
            <w:pPr>
              <w:jc w:val="center"/>
            </w:pPr>
            <w:r>
              <w:rPr>
                <w:rFonts w:ascii="宋体" w:hAnsi="宋体" w:eastAsia="宋体"/>
                <w:sz w:val="16"/>
              </w:rPr>
              <w:t>5月</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E741DE8">
            <w:pPr>
              <w:jc w:val="center"/>
            </w:pPr>
            <w:r>
              <w:rPr>
                <w:rFonts w:ascii="宋体" w:hAnsi="宋体" w:eastAsia="宋体"/>
                <w:sz w:val="16"/>
              </w:rPr>
              <w:t>伊犁州自然资源局都拉塔口岸分局2024年度工作计划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98890D3">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72ED324">
            <w:pPr>
              <w:jc w:val="center"/>
            </w:pPr>
            <w:r>
              <w:rPr>
                <w:rFonts w:ascii="宋体" w:hAnsi="宋体" w:eastAsia="宋体"/>
                <w:sz w:val="16"/>
              </w:rPr>
              <w:t>5月</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9C0F79D">
            <w:pPr>
              <w:jc w:val="center"/>
            </w:pPr>
            <w:r>
              <w:rPr>
                <w:rFonts w:ascii="宋体" w:hAnsi="宋体" w:eastAsia="宋体"/>
                <w:sz w:val="16"/>
              </w:rPr>
              <w:t>10</w:t>
            </w:r>
          </w:p>
        </w:tc>
      </w:tr>
    </w:tbl>
    <w:p w14:paraId="4284DE14">
      <w:r>
        <w:br w:type="page"/>
      </w:r>
    </w:p>
    <w:p w14:paraId="2988C740">
      <w:pPr>
        <w:spacing w:line="640" w:lineRule="exact"/>
        <w:ind w:firstLine="640"/>
        <w:jc w:val="both"/>
        <w:outlineLvl w:val="2"/>
      </w:pPr>
      <w:r>
        <w:rPr>
          <w:rFonts w:ascii="黑体" w:hAnsi="黑体" w:eastAsia="黑体"/>
          <w:sz w:val="32"/>
        </w:rPr>
        <w:t>十二、其他需说明的事项</w:t>
      </w:r>
    </w:p>
    <w:p w14:paraId="29BC86DA">
      <w:pPr>
        <w:spacing w:line="580" w:lineRule="exact"/>
        <w:ind w:firstLine="640"/>
        <w:jc w:val="both"/>
      </w:pPr>
      <w:r>
        <w:rPr>
          <w:rFonts w:ascii="仿宋_GB2312" w:hAnsi="仿宋_GB2312" w:eastAsia="仿宋_GB2312"/>
          <w:b w:val="0"/>
          <w:sz w:val="32"/>
        </w:rPr>
        <w:t>本单位2024年度无政府采购支出，授予中小企业合同金额0.00万元。</w:t>
      </w:r>
    </w:p>
    <w:p w14:paraId="3B254F37">
      <w:r>
        <w:br w:type="page"/>
      </w:r>
    </w:p>
    <w:p w14:paraId="691CF13A">
      <w:pPr>
        <w:spacing w:line="240" w:lineRule="auto"/>
        <w:jc w:val="center"/>
        <w:outlineLvl w:val="1"/>
      </w:pPr>
      <w:r>
        <w:rPr>
          <w:rFonts w:ascii="黑体" w:hAnsi="黑体" w:eastAsia="黑体"/>
          <w:sz w:val="32"/>
        </w:rPr>
        <w:t>第三部分 专业名词解释</w:t>
      </w:r>
    </w:p>
    <w:p w14:paraId="0A8D1CBD">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58072CE1">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287ED346">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2F43A8D4">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59A33EC8">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29188D8F">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30DE6E3B">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4325A6DB">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55B90D41">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0BA6F3A2">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39A44704">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63EA808E">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5EFA10DF">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473E0388">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4DC8A406">
      <w:r>
        <w:br w:type="page"/>
      </w:r>
    </w:p>
    <w:p w14:paraId="5E168A87">
      <w:pPr>
        <w:spacing w:line="240" w:lineRule="auto"/>
        <w:jc w:val="center"/>
        <w:outlineLvl w:val="1"/>
      </w:pPr>
      <w:r>
        <w:rPr>
          <w:rFonts w:ascii="黑体" w:hAnsi="黑体" w:eastAsia="黑体"/>
          <w:sz w:val="32"/>
        </w:rPr>
        <w:t>第四部分 部门决算报表（见附表）</w:t>
      </w:r>
    </w:p>
    <w:p w14:paraId="76968E64">
      <w:pPr>
        <w:spacing w:line="240" w:lineRule="auto"/>
        <w:ind w:firstLine="640"/>
        <w:jc w:val="both"/>
      </w:pPr>
      <w:r>
        <w:rPr>
          <w:rFonts w:ascii="仿宋_GB2312" w:hAnsi="仿宋_GB2312" w:eastAsia="仿宋_GB2312"/>
          <w:b w:val="0"/>
          <w:sz w:val="32"/>
        </w:rPr>
        <w:t>一、《收入支出决算总表》</w:t>
      </w:r>
    </w:p>
    <w:p w14:paraId="16BC0DC3">
      <w:pPr>
        <w:spacing w:line="240" w:lineRule="auto"/>
        <w:ind w:firstLine="640"/>
        <w:jc w:val="both"/>
      </w:pPr>
      <w:r>
        <w:rPr>
          <w:rFonts w:ascii="仿宋_GB2312" w:hAnsi="仿宋_GB2312" w:eastAsia="仿宋_GB2312"/>
          <w:b w:val="0"/>
          <w:sz w:val="32"/>
        </w:rPr>
        <w:t>二、《收入决算表》</w:t>
      </w:r>
    </w:p>
    <w:p w14:paraId="018ABF19">
      <w:pPr>
        <w:spacing w:line="240" w:lineRule="auto"/>
        <w:ind w:firstLine="640"/>
        <w:jc w:val="both"/>
      </w:pPr>
      <w:r>
        <w:rPr>
          <w:rFonts w:ascii="仿宋_GB2312" w:hAnsi="仿宋_GB2312" w:eastAsia="仿宋_GB2312"/>
          <w:b w:val="0"/>
          <w:sz w:val="32"/>
        </w:rPr>
        <w:t>三、《支出决算表》</w:t>
      </w:r>
    </w:p>
    <w:p w14:paraId="4FFC1967">
      <w:pPr>
        <w:spacing w:line="240" w:lineRule="auto"/>
        <w:ind w:firstLine="640"/>
        <w:jc w:val="both"/>
      </w:pPr>
      <w:r>
        <w:rPr>
          <w:rFonts w:ascii="仿宋_GB2312" w:hAnsi="仿宋_GB2312" w:eastAsia="仿宋_GB2312"/>
          <w:b w:val="0"/>
          <w:sz w:val="32"/>
        </w:rPr>
        <w:t>四、《财政拨款收入支出决算总表》</w:t>
      </w:r>
    </w:p>
    <w:p w14:paraId="4EA5B18B">
      <w:pPr>
        <w:spacing w:line="240" w:lineRule="auto"/>
        <w:ind w:firstLine="640"/>
        <w:jc w:val="both"/>
      </w:pPr>
      <w:r>
        <w:rPr>
          <w:rFonts w:ascii="仿宋_GB2312" w:hAnsi="仿宋_GB2312" w:eastAsia="仿宋_GB2312"/>
          <w:b w:val="0"/>
          <w:sz w:val="32"/>
        </w:rPr>
        <w:t>五、《一般公共预算财政拨款支出决算表》</w:t>
      </w:r>
    </w:p>
    <w:p w14:paraId="5BF98EB4">
      <w:pPr>
        <w:spacing w:line="240" w:lineRule="auto"/>
        <w:ind w:firstLine="640"/>
        <w:jc w:val="both"/>
      </w:pPr>
      <w:r>
        <w:rPr>
          <w:rFonts w:ascii="仿宋_GB2312" w:hAnsi="仿宋_GB2312" w:eastAsia="仿宋_GB2312"/>
          <w:b w:val="0"/>
          <w:sz w:val="32"/>
        </w:rPr>
        <w:t>六、《一般公共预算财政拨款基本支出决算表》</w:t>
      </w:r>
    </w:p>
    <w:p w14:paraId="2FC19DD3">
      <w:pPr>
        <w:spacing w:line="240" w:lineRule="auto"/>
        <w:ind w:firstLine="640"/>
        <w:jc w:val="both"/>
      </w:pPr>
      <w:r>
        <w:rPr>
          <w:rFonts w:ascii="仿宋_GB2312" w:hAnsi="仿宋_GB2312" w:eastAsia="仿宋_GB2312"/>
          <w:b w:val="0"/>
          <w:sz w:val="32"/>
        </w:rPr>
        <w:t>七、《政府性基金预算财政拨款收入支出决算表》</w:t>
      </w:r>
    </w:p>
    <w:p w14:paraId="73097DBA">
      <w:pPr>
        <w:spacing w:line="240" w:lineRule="auto"/>
        <w:ind w:firstLine="640"/>
        <w:jc w:val="both"/>
      </w:pPr>
      <w:r>
        <w:rPr>
          <w:rFonts w:ascii="仿宋_GB2312" w:hAnsi="仿宋_GB2312" w:eastAsia="仿宋_GB2312"/>
          <w:b w:val="0"/>
          <w:sz w:val="32"/>
        </w:rPr>
        <w:t>八、《国有资本经营预算财政拨款收入支出决算表》</w:t>
      </w:r>
    </w:p>
    <w:p w14:paraId="08325436">
      <w:pPr>
        <w:spacing w:line="240" w:lineRule="auto"/>
        <w:ind w:firstLine="640"/>
        <w:jc w:val="both"/>
      </w:pPr>
      <w:r>
        <w:rPr>
          <w:rFonts w:ascii="仿宋_GB2312" w:hAnsi="仿宋_GB2312" w:eastAsia="仿宋_GB2312"/>
          <w:b w:val="0"/>
          <w:sz w:val="32"/>
        </w:rPr>
        <w:t>九、《财政拨款“三公”经费支出决算表》</w:t>
      </w:r>
    </w:p>
    <w:p w14:paraId="74ADC266">
      <w:pPr>
        <w:spacing w:line="240" w:lineRule="auto"/>
        <w:ind w:firstLine="640"/>
        <w:jc w:val="both"/>
      </w:pPr>
    </w:p>
    <w:p w14:paraId="28F1EE6D">
      <w:pPr>
        <w:spacing w:line="240" w:lineRule="auto"/>
        <w:ind w:firstLine="640"/>
        <w:jc w:val="both"/>
      </w:pPr>
    </w:p>
    <w:p w14:paraId="38DE1831">
      <w:pPr>
        <w:spacing w:line="240" w:lineRule="auto"/>
        <w:ind w:firstLine="640"/>
        <w:jc w:val="both"/>
      </w:pPr>
    </w:p>
    <w:p w14:paraId="452B563E">
      <w:pPr>
        <w:spacing w:line="240" w:lineRule="auto"/>
        <w:ind w:firstLine="640"/>
        <w:jc w:val="both"/>
      </w:pPr>
    </w:p>
    <w:p w14:paraId="04D6CD5A">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F6A73923-B3F1-4012-9CFC-8E493C1101DC}"/>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FangSong_GB2312">
    <w:altName w:val="仿宋_GB2312"/>
    <w:panose1 w:val="020B0604020202020204"/>
    <w:charset w:val="86"/>
    <w:family w:val="modern"/>
    <w:pitch w:val="default"/>
    <w:sig w:usb0="00000000" w:usb1="00000000" w:usb2="00000010" w:usb3="00000000" w:csb0="00040000" w:csb1="00000000"/>
  </w:font>
  <w:font w:name="仿宋_GB2312">
    <w:panose1 w:val="02010609030101010101"/>
    <w:charset w:val="86"/>
    <w:family w:val="auto"/>
    <w:pitch w:val="default"/>
    <w:sig w:usb0="00000001" w:usb1="080E0000" w:usb2="00000000" w:usb3="00000000" w:csb0="00040000" w:csb1="00000000"/>
    <w:embedRegular r:id="rId2" w:fontKey="{6C476E13-02E0-464C-91E2-C23D7589C905}"/>
  </w:font>
  <w:font w:name="楷体_GB2312">
    <w:panose1 w:val="02010609030101010101"/>
    <w:charset w:val="86"/>
    <w:family w:val="auto"/>
    <w:pitch w:val="default"/>
    <w:sig w:usb0="00000001" w:usb1="080E0000" w:usb2="00000000" w:usb3="00000000" w:csb0="00040000" w:csb1="00000000"/>
    <w:embedRegular r:id="rId3" w:fontKey="{0E4820CC-EEF7-4C44-B36C-7133C4EBCCC7}"/>
  </w:font>
  <w:font w:name="方正小标宋_GBK">
    <w:panose1 w:val="02000000000000000000"/>
    <w:charset w:val="86"/>
    <w:family w:val="script"/>
    <w:pitch w:val="default"/>
    <w:sig w:usb0="A00002BF" w:usb1="38CF7CFA" w:usb2="00082016" w:usb3="00000000" w:csb0="00040001" w:csb1="00000000"/>
    <w:embedRegular r:id="rId4" w:fontKey="{6F6756BF-2F1E-4D11-BA1C-7A082F1A4CC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TrueTypeFonts/>
  <w:saveSubsetFonts/>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377646"/>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8D48F0"/>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DEF0737"/>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19</Pages>
  <Words>4319</Words>
  <Characters>4927</Characters>
  <Lines>0</Lines>
  <Paragraphs>0</Paragraphs>
  <TotalTime>2</TotalTime>
  <ScaleCrop>false</ScaleCrop>
  <LinksUpToDate>false</LinksUpToDate>
  <CharactersWithSpaces>4935</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雨。</cp:lastModifiedBy>
  <cp:lastPrinted>2024-07-22T11:58:00Z</cp:lastPrinted>
  <dcterms:modified xsi:type="dcterms:W3CDTF">2025-09-01T04:40:07Z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eyJoZGlkIjoiNTBiYjFiYzY0OWM2ODlhYjA1NDAwODJkOGMwZGNkYTMiLCJ1c2VySWQiOiIyNTk4NTcxMjUifQ==</vt:lpwstr>
  </property>
</Properties>
</file>