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伊犁哈萨克自治州都拉塔口岸管理委员会2024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6F86154">
      <w:r>
        <w:br w:type="page"/>
      </w:r>
    </w:p>
    <w:p w14:paraId="7218DDB6">
      <w:pPr>
        <w:spacing w:line="640" w:lineRule="exact"/>
        <w:jc w:val="center"/>
        <w:outlineLvl w:val="1"/>
      </w:pPr>
      <w:r>
        <w:rPr>
          <w:rFonts w:ascii="黑体" w:hAnsi="黑体" w:eastAsia="黑体"/>
          <w:sz w:val="32"/>
        </w:rPr>
        <w:t>第一部分 单位概况</w:t>
      </w:r>
    </w:p>
    <w:p w14:paraId="573F83B4">
      <w:pPr>
        <w:spacing w:line="640" w:lineRule="exact"/>
        <w:ind w:firstLine="640"/>
        <w:jc w:val="both"/>
        <w:outlineLvl w:val="2"/>
      </w:pPr>
      <w:r>
        <w:rPr>
          <w:rFonts w:ascii="黑体" w:hAnsi="黑体" w:eastAsia="黑体"/>
          <w:sz w:val="32"/>
        </w:rPr>
        <w:t>一、主要职能</w:t>
      </w:r>
    </w:p>
    <w:p w14:paraId="6FE2CA5A">
      <w:pPr>
        <w:spacing w:line="580" w:lineRule="exact"/>
        <w:ind w:firstLine="640"/>
        <w:jc w:val="both"/>
      </w:pPr>
      <w:r>
        <w:rPr>
          <w:rFonts w:ascii="仿宋_GB2312" w:hAnsi="仿宋_GB2312" w:eastAsia="仿宋_GB2312"/>
          <w:sz w:val="32"/>
        </w:rPr>
        <w:t>（一）依据国家有关法律、法规和上级的有关文件精神，实施对口岸区域内的行政和社会事务的管理，制定口岸区域的各项行政管理规定和具体措施，并监督执行。</w:t>
      </w:r>
    </w:p>
    <w:p w14:paraId="3763A60C">
      <w:pPr>
        <w:spacing w:line="580" w:lineRule="exact"/>
        <w:ind w:firstLine="640"/>
        <w:jc w:val="both"/>
      </w:pPr>
      <w:r>
        <w:rPr>
          <w:rFonts w:ascii="仿宋_GB2312" w:hAnsi="仿宋_GB2312" w:eastAsia="仿宋_GB2312"/>
          <w:sz w:val="32"/>
        </w:rPr>
        <w:t>（二）依照自治州总体规划和经济与社会发展计划，编制口岸的经济与社会发展规划并组织实施。</w:t>
      </w:r>
    </w:p>
    <w:p w14:paraId="5E0F1128">
      <w:pPr>
        <w:spacing w:line="580" w:lineRule="exact"/>
        <w:ind w:firstLine="640"/>
        <w:jc w:val="both"/>
      </w:pPr>
      <w:r>
        <w:rPr>
          <w:rFonts w:ascii="仿宋_GB2312" w:hAnsi="仿宋_GB2312" w:eastAsia="仿宋_GB2312"/>
          <w:sz w:val="32"/>
        </w:rPr>
        <w:t>（三）依法管理口岸的进出口业务，督促检查口岸检查检验单位按各自的职责和规定对入出境人员，交通工具、货物和物品进行监督管理以及检查、检验、检疫等工作。</w:t>
      </w:r>
    </w:p>
    <w:p w14:paraId="3B367D54">
      <w:pPr>
        <w:spacing w:line="580" w:lineRule="exact"/>
        <w:ind w:firstLine="640"/>
        <w:jc w:val="both"/>
      </w:pPr>
      <w:r>
        <w:rPr>
          <w:rFonts w:ascii="仿宋_GB2312" w:hAnsi="仿宋_GB2312" w:eastAsia="仿宋_GB2312"/>
          <w:sz w:val="32"/>
        </w:rPr>
        <w:t>（四）协助上级有关领导机关对驻口岸各单位进行统一协调和管理，负责协调处理驻口岸各单位之间的纠纷，必要时</w:t>
      </w:r>
      <w:r>
        <w:rPr>
          <w:rFonts w:hint="eastAsia" w:ascii="仿宋_GB2312" w:hAnsi="仿宋_GB2312" w:eastAsia="仿宋_GB2312"/>
          <w:sz w:val="32"/>
          <w:lang w:eastAsia="zh-CN"/>
        </w:rPr>
        <w:t>作出</w:t>
      </w:r>
      <w:r>
        <w:rPr>
          <w:rFonts w:ascii="仿宋_GB2312" w:hAnsi="仿宋_GB2312" w:eastAsia="仿宋_GB2312"/>
          <w:sz w:val="32"/>
        </w:rPr>
        <w:t>仲裁决定。</w:t>
      </w:r>
    </w:p>
    <w:p w14:paraId="671586F1">
      <w:pPr>
        <w:spacing w:line="580" w:lineRule="exact"/>
        <w:ind w:firstLine="640"/>
        <w:jc w:val="both"/>
      </w:pPr>
      <w:r>
        <w:rPr>
          <w:rFonts w:ascii="仿宋_GB2312" w:hAnsi="仿宋_GB2312" w:eastAsia="仿宋_GB2312"/>
          <w:sz w:val="32"/>
        </w:rPr>
        <w:t>（五）根据规定权限，审核、批准在口岸区域内的投资项目和其他事项。</w:t>
      </w:r>
    </w:p>
    <w:p w14:paraId="24EC8CF6">
      <w:pPr>
        <w:spacing w:line="580" w:lineRule="exact"/>
        <w:ind w:firstLine="640"/>
        <w:jc w:val="both"/>
      </w:pPr>
      <w:r>
        <w:rPr>
          <w:rFonts w:ascii="仿宋_GB2312" w:hAnsi="仿宋_GB2312" w:eastAsia="仿宋_GB2312"/>
          <w:sz w:val="32"/>
        </w:rPr>
        <w:t>（六）负责口岸的经济，教育，科技，文体、卫生、环境和资源保护；城区建设事业和财政、民政、公安、安全、民族事务、司法行政，审计，监督，劳动人事、外事，工商，税务等行政管理工作，做好口岸的供应，服务、接待以及安全保卫和边防管理等工作。</w:t>
      </w:r>
    </w:p>
    <w:p w14:paraId="272771A5">
      <w:pPr>
        <w:spacing w:line="580" w:lineRule="exact"/>
        <w:ind w:firstLine="640"/>
        <w:jc w:val="both"/>
      </w:pPr>
      <w:r>
        <w:rPr>
          <w:rFonts w:ascii="仿宋_GB2312" w:hAnsi="仿宋_GB2312" w:eastAsia="仿宋_GB2312"/>
          <w:sz w:val="32"/>
        </w:rPr>
        <w:t>（七）负责口岸的各项基础设施和公共设施的管理。</w:t>
      </w:r>
    </w:p>
    <w:p w14:paraId="12525257">
      <w:pPr>
        <w:spacing w:line="580" w:lineRule="exact"/>
        <w:ind w:firstLine="640"/>
        <w:jc w:val="both"/>
      </w:pPr>
      <w:r>
        <w:rPr>
          <w:rFonts w:ascii="仿宋_GB2312" w:hAnsi="仿宋_GB2312" w:eastAsia="仿宋_GB2312"/>
          <w:sz w:val="32"/>
        </w:rPr>
        <w:t>（八）研究解决口岸各单位提出的涉外问题，检查口岸各部门涉外纪律的执行情况；组织口岸各部门对工作人员进行涉外政策和思想政治教育，统一对外宣传口径，部署对外宣传活动，管理对外宣传场所，组织安排重要节日的涉外活动。</w:t>
      </w:r>
    </w:p>
    <w:p w14:paraId="25555B91">
      <w:pPr>
        <w:spacing w:line="580" w:lineRule="exact"/>
        <w:ind w:firstLine="640"/>
        <w:jc w:val="both"/>
      </w:pPr>
      <w:r>
        <w:rPr>
          <w:rFonts w:ascii="仿宋_GB2312" w:hAnsi="仿宋_GB2312" w:eastAsia="仿宋_GB2312"/>
          <w:sz w:val="32"/>
        </w:rPr>
        <w:t>（九）承办自治州人民政府交办的其他事项。</w:t>
      </w:r>
    </w:p>
    <w:p w14:paraId="54E1ADFF">
      <w:pPr>
        <w:spacing w:line="640" w:lineRule="exact"/>
        <w:ind w:firstLine="640"/>
        <w:jc w:val="both"/>
        <w:outlineLvl w:val="2"/>
      </w:pPr>
      <w:r>
        <w:rPr>
          <w:rFonts w:ascii="黑体" w:hAnsi="黑体" w:eastAsia="黑体"/>
          <w:sz w:val="32"/>
        </w:rPr>
        <w:t>二、机构设置及人员情况</w:t>
      </w:r>
    </w:p>
    <w:p w14:paraId="0B6F3DAF">
      <w:pPr>
        <w:spacing w:line="580" w:lineRule="exact"/>
        <w:ind w:firstLine="640"/>
        <w:jc w:val="both"/>
      </w:pPr>
      <w:r>
        <w:rPr>
          <w:rFonts w:ascii="仿宋_GB2312" w:hAnsi="仿宋_GB2312" w:eastAsia="仿宋_GB2312"/>
          <w:sz w:val="32"/>
        </w:rPr>
        <w:t>伊犁哈萨克自治州都拉塔口岸管理委员会2024年度，实有人数27人，其中：在职人员27人，增加1人；离休人员0人，增加0人；退休人员0人,增加0人。</w:t>
      </w:r>
    </w:p>
    <w:p w14:paraId="45F26563">
      <w:pPr>
        <w:spacing w:line="580" w:lineRule="exact"/>
        <w:ind w:firstLine="640"/>
        <w:jc w:val="both"/>
      </w:pPr>
      <w:r>
        <w:rPr>
          <w:rFonts w:ascii="仿宋_GB2312" w:hAnsi="仿宋_GB2312" w:eastAsia="仿宋_GB2312"/>
          <w:sz w:val="32"/>
        </w:rPr>
        <w:t>伊犁哈萨克自治州都拉塔口岸管理委员会无下属预算单位，下设8个科室，分别是：党政办公室、综治维稳办公室、财政局、经济贸易发展局、建设局、口岸管理局、都拉塔口岸社会事务服务中心、都拉塔口岸投资促进中心。</w:t>
      </w:r>
    </w:p>
    <w:p w14:paraId="14A048F6">
      <w:r>
        <w:br w:type="page"/>
      </w:r>
    </w:p>
    <w:p w14:paraId="3FB21BA1">
      <w:pPr>
        <w:spacing w:line="240" w:lineRule="auto"/>
        <w:jc w:val="center"/>
        <w:outlineLvl w:val="1"/>
      </w:pPr>
      <w:r>
        <w:rPr>
          <w:rFonts w:ascii="黑体" w:hAnsi="黑体" w:eastAsia="黑体"/>
          <w:sz w:val="32"/>
        </w:rPr>
        <w:t>第二部分 部门决算情况说明</w:t>
      </w:r>
    </w:p>
    <w:p w14:paraId="083304CF">
      <w:pPr>
        <w:spacing w:line="640" w:lineRule="exact"/>
        <w:ind w:firstLine="640"/>
        <w:jc w:val="both"/>
        <w:outlineLvl w:val="2"/>
      </w:pPr>
      <w:r>
        <w:rPr>
          <w:rFonts w:ascii="黑体" w:hAnsi="黑体" w:eastAsia="黑体"/>
          <w:sz w:val="32"/>
        </w:rPr>
        <w:t>一、收入支出决算总体情况说明</w:t>
      </w:r>
    </w:p>
    <w:p w14:paraId="6661294D">
      <w:pPr>
        <w:spacing w:line="580" w:lineRule="exact"/>
        <w:ind w:firstLine="640"/>
        <w:jc w:val="both"/>
      </w:pPr>
      <w:r>
        <w:rPr>
          <w:rFonts w:ascii="仿宋_GB2312" w:hAnsi="仿宋_GB2312" w:eastAsia="仿宋_GB2312"/>
          <w:b/>
          <w:sz w:val="32"/>
        </w:rPr>
        <w:t>2024年度收入总计17,767.04万元，</w:t>
      </w:r>
      <w:r>
        <w:rPr>
          <w:rFonts w:ascii="仿宋_GB2312" w:hAnsi="仿宋_GB2312" w:eastAsia="仿宋_GB2312"/>
          <w:b w:val="0"/>
          <w:sz w:val="32"/>
        </w:rPr>
        <w:t>其中：本年收入合计17,767.04万元，使用非财政拨款结余（含专用结余）0.00万元，年初结转和结余0.00万元。</w:t>
      </w:r>
    </w:p>
    <w:p w14:paraId="76511A8F">
      <w:pPr>
        <w:spacing w:line="580" w:lineRule="exact"/>
        <w:ind w:firstLine="640"/>
        <w:jc w:val="both"/>
      </w:pPr>
      <w:r>
        <w:rPr>
          <w:rFonts w:ascii="仿宋_GB2312" w:hAnsi="仿宋_GB2312" w:eastAsia="仿宋_GB2312"/>
          <w:b/>
          <w:sz w:val="32"/>
        </w:rPr>
        <w:t>2024年度支出总计17,767.04万元，</w:t>
      </w:r>
      <w:r>
        <w:rPr>
          <w:rFonts w:ascii="仿宋_GB2312" w:hAnsi="仿宋_GB2312" w:eastAsia="仿宋_GB2312"/>
          <w:b w:val="0"/>
          <w:sz w:val="32"/>
        </w:rPr>
        <w:t>其中：本年支出合计17,767.04万元，结余分配0.00万元，年末结转和结余0.00万元。</w:t>
      </w:r>
    </w:p>
    <w:p w14:paraId="2E648333">
      <w:pPr>
        <w:spacing w:line="580" w:lineRule="exact"/>
        <w:ind w:firstLine="640"/>
        <w:jc w:val="both"/>
      </w:pPr>
      <w:r>
        <w:rPr>
          <w:rFonts w:ascii="仿宋_GB2312" w:hAnsi="仿宋_GB2312" w:eastAsia="仿宋_GB2312"/>
          <w:b w:val="0"/>
          <w:sz w:val="32"/>
        </w:rPr>
        <w:t>收入支出总体与上年相比，增加7,620.67万元，增长75.11%，主要原因是：本年新增专债伊犁州都拉塔口岸出口货物疏运集散中心建设项目、都拉塔口岸道路基础设施能力提升建设项目、通关基础设施能力提升项目等项目。</w:t>
      </w:r>
    </w:p>
    <w:p w14:paraId="74796FFE">
      <w:pPr>
        <w:spacing w:line="640" w:lineRule="exact"/>
        <w:ind w:firstLine="640"/>
        <w:jc w:val="both"/>
        <w:outlineLvl w:val="2"/>
      </w:pPr>
      <w:r>
        <w:rPr>
          <w:rFonts w:ascii="黑体" w:hAnsi="黑体" w:eastAsia="黑体"/>
          <w:sz w:val="32"/>
        </w:rPr>
        <w:t>二、收入决算情况说明</w:t>
      </w:r>
    </w:p>
    <w:p w14:paraId="4344BDE1">
      <w:pPr>
        <w:spacing w:line="580" w:lineRule="exact"/>
        <w:ind w:firstLine="640"/>
        <w:jc w:val="both"/>
      </w:pPr>
      <w:r>
        <w:rPr>
          <w:rFonts w:ascii="仿宋_GB2312" w:hAnsi="仿宋_GB2312" w:eastAsia="仿宋_GB2312"/>
          <w:b/>
          <w:sz w:val="32"/>
        </w:rPr>
        <w:t>本年收入17,767.04万元，</w:t>
      </w:r>
      <w:r>
        <w:rPr>
          <w:rFonts w:ascii="仿宋_GB2312" w:hAnsi="仿宋_GB2312" w:eastAsia="仿宋_GB2312"/>
          <w:b w:val="0"/>
          <w:sz w:val="32"/>
        </w:rPr>
        <w:t>其中：财政拨款收入17,767.04万元，占100.00%；上级补助收入0.00万元，占0.00%；事业收入0.00万元，占0.00%；经营收入0.00万元，占0.00%；附属单位上缴收入0.00万元，占0.00%；其他收入0.00万元，占0.00%。</w:t>
      </w:r>
    </w:p>
    <w:p w14:paraId="47924F6D">
      <w:pPr>
        <w:spacing w:line="640" w:lineRule="exact"/>
        <w:ind w:firstLine="640"/>
        <w:jc w:val="both"/>
        <w:outlineLvl w:val="2"/>
      </w:pPr>
      <w:r>
        <w:rPr>
          <w:rFonts w:ascii="黑体" w:hAnsi="黑体" w:eastAsia="黑体"/>
          <w:sz w:val="32"/>
        </w:rPr>
        <w:t>三、支出决算情况说明</w:t>
      </w:r>
    </w:p>
    <w:p w14:paraId="14A4E1C5">
      <w:pPr>
        <w:spacing w:line="580" w:lineRule="exact"/>
        <w:ind w:firstLine="640"/>
        <w:jc w:val="both"/>
      </w:pPr>
      <w:r>
        <w:rPr>
          <w:rFonts w:ascii="仿宋_GB2312" w:hAnsi="仿宋_GB2312" w:eastAsia="仿宋_GB2312"/>
          <w:b/>
          <w:sz w:val="32"/>
        </w:rPr>
        <w:t>本年支出17,767.04万元，</w:t>
      </w:r>
      <w:r>
        <w:rPr>
          <w:rFonts w:ascii="仿宋_GB2312" w:hAnsi="仿宋_GB2312" w:eastAsia="仿宋_GB2312"/>
          <w:b w:val="0"/>
          <w:sz w:val="32"/>
        </w:rPr>
        <w:t>其中：基本支出1,769.81万元，占9.96%；项目支出15,997.22万元，占90.04%；上缴上级支出0.00万元，占0.00%；经营支出0.00万元，占0.00%；对附属单位补助支出0.00万元，占0.00%。</w:t>
      </w:r>
    </w:p>
    <w:p w14:paraId="19B7F2DD">
      <w:pPr>
        <w:spacing w:line="640" w:lineRule="exact"/>
        <w:ind w:firstLine="640"/>
        <w:jc w:val="both"/>
        <w:outlineLvl w:val="2"/>
      </w:pPr>
      <w:r>
        <w:rPr>
          <w:rFonts w:ascii="黑体" w:hAnsi="黑体" w:eastAsia="黑体"/>
          <w:sz w:val="32"/>
        </w:rPr>
        <w:t>四、财政拨款收入支出决算总体情况说明</w:t>
      </w:r>
    </w:p>
    <w:p w14:paraId="6FFE42A8">
      <w:pPr>
        <w:spacing w:line="580" w:lineRule="exact"/>
        <w:ind w:firstLine="640"/>
        <w:jc w:val="both"/>
      </w:pPr>
      <w:r>
        <w:rPr>
          <w:rFonts w:ascii="仿宋_GB2312" w:hAnsi="仿宋_GB2312" w:eastAsia="仿宋_GB2312"/>
          <w:b/>
          <w:sz w:val="32"/>
        </w:rPr>
        <w:t>2024年度财政拨款收入总计17,767.04万元，</w:t>
      </w:r>
      <w:r>
        <w:rPr>
          <w:rFonts w:ascii="仿宋_GB2312" w:hAnsi="仿宋_GB2312" w:eastAsia="仿宋_GB2312"/>
          <w:b w:val="0"/>
          <w:sz w:val="32"/>
        </w:rPr>
        <w:t>其中：年初财政拨款结转和结余0.00万元，本年财政拨款收入17,767.04万元。</w:t>
      </w:r>
      <w:r>
        <w:rPr>
          <w:rFonts w:ascii="仿宋_GB2312" w:hAnsi="仿宋_GB2312" w:eastAsia="仿宋_GB2312"/>
          <w:b/>
          <w:sz w:val="32"/>
        </w:rPr>
        <w:t>财政拨款支出总计17,767.04万元，</w:t>
      </w:r>
      <w:r>
        <w:rPr>
          <w:rFonts w:ascii="仿宋_GB2312" w:hAnsi="仿宋_GB2312" w:eastAsia="仿宋_GB2312"/>
          <w:b w:val="0"/>
          <w:sz w:val="32"/>
        </w:rPr>
        <w:t>其中：年末财政拨款结转和结余0.00万元，本年财政拨款支出17,767.04万元。</w:t>
      </w:r>
    </w:p>
    <w:p w14:paraId="49C6157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增加7,620.67万元，增长75.11%，主要原因是：本年新增专债伊犁州都拉塔口岸出口货物疏运集散中心建设项目、都拉塔口岸道路基础设施能力提升建设项目、通关基础设施能力提升项目等项目。</w:t>
      </w:r>
      <w:r>
        <w:rPr>
          <w:rFonts w:ascii="仿宋_GB2312" w:hAnsi="仿宋_GB2312" w:eastAsia="仿宋_GB2312"/>
          <w:b/>
          <w:sz w:val="32"/>
        </w:rPr>
        <w:t>与年初预算相比，</w:t>
      </w:r>
      <w:r>
        <w:rPr>
          <w:rFonts w:ascii="仿宋_GB2312" w:hAnsi="仿宋_GB2312" w:eastAsia="仿宋_GB2312"/>
          <w:b w:val="0"/>
          <w:sz w:val="32"/>
        </w:rPr>
        <w:t>年初预算数5,322.66万元，决算数17,767.04万元，预决算差异率233.80%，主要原因是：年中追加都拉塔口岸出口货物疏运集散中心建设项目、都拉塔口岸道路基础设施能力提升建设项目、通关基础设施能力提升项目等项目经费，导致预决算存在差异。</w:t>
      </w:r>
    </w:p>
    <w:p w14:paraId="5CA3CF74">
      <w:pPr>
        <w:spacing w:line="640" w:lineRule="exact"/>
        <w:ind w:firstLine="640"/>
        <w:jc w:val="both"/>
        <w:outlineLvl w:val="2"/>
      </w:pPr>
      <w:r>
        <w:rPr>
          <w:rFonts w:ascii="黑体" w:hAnsi="黑体" w:eastAsia="黑体"/>
          <w:sz w:val="32"/>
        </w:rPr>
        <w:t>五、一般公共预算财政拨款支出决算情况说明</w:t>
      </w:r>
    </w:p>
    <w:p w14:paraId="7756A034">
      <w:pPr>
        <w:spacing w:line="640" w:lineRule="exact"/>
        <w:ind w:firstLine="640"/>
        <w:jc w:val="both"/>
        <w:outlineLvl w:val="3"/>
      </w:pPr>
      <w:r>
        <w:rPr>
          <w:rFonts w:ascii="楷体_GB2312" w:hAnsi="楷体_GB2312" w:eastAsia="楷体_GB2312"/>
          <w:b/>
          <w:sz w:val="32"/>
        </w:rPr>
        <w:t>（一）一般公共预算财政拨款支出决算总体情况</w:t>
      </w:r>
    </w:p>
    <w:p w14:paraId="388A5EB2">
      <w:pPr>
        <w:spacing w:line="580" w:lineRule="exact"/>
        <w:ind w:firstLine="640"/>
        <w:jc w:val="both"/>
      </w:pPr>
      <w:r>
        <w:rPr>
          <w:rFonts w:ascii="仿宋_GB2312" w:hAnsi="仿宋_GB2312" w:eastAsia="仿宋_GB2312"/>
          <w:b/>
          <w:sz w:val="32"/>
        </w:rPr>
        <w:t>2024年度一般公共预算财政拨款支出14,167.00万元，</w:t>
      </w:r>
      <w:r>
        <w:rPr>
          <w:rFonts w:ascii="仿宋_GB2312" w:hAnsi="仿宋_GB2312" w:eastAsia="仿宋_GB2312"/>
          <w:b w:val="0"/>
          <w:sz w:val="32"/>
        </w:rPr>
        <w:t>占本年支出合计的79.74%。</w:t>
      </w:r>
      <w:r>
        <w:rPr>
          <w:rFonts w:ascii="仿宋_GB2312" w:hAnsi="仿宋_GB2312" w:eastAsia="仿宋_GB2312"/>
          <w:b/>
          <w:sz w:val="32"/>
        </w:rPr>
        <w:t>与上年相比，</w:t>
      </w:r>
      <w:r>
        <w:rPr>
          <w:rFonts w:ascii="仿宋_GB2312" w:hAnsi="仿宋_GB2312" w:eastAsia="仿宋_GB2312"/>
          <w:b w:val="0"/>
          <w:sz w:val="32"/>
        </w:rPr>
        <w:t>增加7,020.63万元，增长98.24%，主要原因是：本年新增都拉塔口岸道路基础设施能力提升建设项目、通关基础设施能力提升项目等项目。</w:t>
      </w:r>
      <w:r>
        <w:rPr>
          <w:rFonts w:ascii="仿宋_GB2312" w:hAnsi="仿宋_GB2312" w:eastAsia="仿宋_GB2312"/>
          <w:b/>
          <w:sz w:val="32"/>
        </w:rPr>
        <w:t>与年初预算相比,</w:t>
      </w:r>
      <w:r>
        <w:rPr>
          <w:rFonts w:ascii="仿宋_GB2312" w:hAnsi="仿宋_GB2312" w:eastAsia="仿宋_GB2312"/>
          <w:b w:val="0"/>
          <w:sz w:val="32"/>
        </w:rPr>
        <w:t>年初预算数5,322.66万元，决算数14,167.00万元，预决算差异率166.16%，主要原因是：年中追加都拉塔口岸出口货物疏运集散中心建设项目、都拉塔口岸道路基础设施能力提升建设项目、通关基础设施能力提升项目等项目经费，导致预决算存在差异。</w:t>
      </w:r>
    </w:p>
    <w:p w14:paraId="37F42216">
      <w:pPr>
        <w:spacing w:line="640" w:lineRule="exact"/>
        <w:ind w:firstLine="640"/>
        <w:jc w:val="both"/>
        <w:outlineLvl w:val="3"/>
      </w:pPr>
      <w:r>
        <w:rPr>
          <w:rFonts w:ascii="楷体_GB2312" w:hAnsi="楷体_GB2312" w:eastAsia="楷体_GB2312"/>
          <w:b/>
          <w:sz w:val="32"/>
        </w:rPr>
        <w:t>（二）一般公共预算财政拨款支出决算结构情况</w:t>
      </w:r>
    </w:p>
    <w:p w14:paraId="59DDA957">
      <w:pPr>
        <w:spacing w:line="580" w:lineRule="exact"/>
        <w:ind w:firstLine="640"/>
        <w:jc w:val="both"/>
      </w:pPr>
      <w:r>
        <w:rPr>
          <w:rFonts w:ascii="仿宋_GB2312" w:hAnsi="仿宋_GB2312" w:eastAsia="仿宋_GB2312"/>
          <w:b w:val="0"/>
          <w:sz w:val="32"/>
        </w:rPr>
        <w:t>1.一般公共服务支出(类)1,607.88万元,占11.35%。</w:t>
      </w:r>
    </w:p>
    <w:p w14:paraId="71BA0C7E">
      <w:pPr>
        <w:spacing w:line="580" w:lineRule="exact"/>
        <w:ind w:firstLine="640"/>
        <w:jc w:val="both"/>
      </w:pPr>
      <w:r>
        <w:rPr>
          <w:rFonts w:ascii="仿宋_GB2312" w:hAnsi="仿宋_GB2312" w:eastAsia="仿宋_GB2312"/>
          <w:b w:val="0"/>
          <w:sz w:val="32"/>
        </w:rPr>
        <w:t>2.文化旅游体育与传媒支出(类)71.17万元,占0.50%。</w:t>
      </w:r>
    </w:p>
    <w:p w14:paraId="3F299A24">
      <w:pPr>
        <w:spacing w:line="580" w:lineRule="exact"/>
        <w:ind w:firstLine="640"/>
        <w:jc w:val="both"/>
      </w:pPr>
      <w:r>
        <w:rPr>
          <w:rFonts w:ascii="仿宋_GB2312" w:hAnsi="仿宋_GB2312" w:eastAsia="仿宋_GB2312"/>
          <w:b w:val="0"/>
          <w:sz w:val="32"/>
        </w:rPr>
        <w:t>3.社会保障和就业支出(类)68.88万元,占0.49%。</w:t>
      </w:r>
    </w:p>
    <w:p w14:paraId="6BDC6C35">
      <w:pPr>
        <w:spacing w:line="580" w:lineRule="exact"/>
        <w:ind w:firstLine="640"/>
        <w:jc w:val="both"/>
      </w:pPr>
      <w:r>
        <w:rPr>
          <w:rFonts w:ascii="仿宋_GB2312" w:hAnsi="仿宋_GB2312" w:eastAsia="仿宋_GB2312"/>
          <w:b w:val="0"/>
          <w:sz w:val="32"/>
        </w:rPr>
        <w:t>4.卫生健康支出(类)34.54万元,占0.24%。</w:t>
      </w:r>
    </w:p>
    <w:p w14:paraId="54359121">
      <w:pPr>
        <w:spacing w:line="580" w:lineRule="exact"/>
        <w:ind w:firstLine="640"/>
        <w:jc w:val="both"/>
      </w:pPr>
      <w:r>
        <w:rPr>
          <w:rFonts w:ascii="仿宋_GB2312" w:hAnsi="仿宋_GB2312" w:eastAsia="仿宋_GB2312"/>
          <w:b w:val="0"/>
          <w:sz w:val="32"/>
        </w:rPr>
        <w:t>5.城乡社区支出(类)9,466.03万元,占66.82%。</w:t>
      </w:r>
    </w:p>
    <w:p w14:paraId="620C6E2B">
      <w:pPr>
        <w:spacing w:line="580" w:lineRule="exact"/>
        <w:ind w:firstLine="640"/>
        <w:jc w:val="both"/>
      </w:pPr>
      <w:r>
        <w:rPr>
          <w:rFonts w:ascii="仿宋_GB2312" w:hAnsi="仿宋_GB2312" w:eastAsia="仿宋_GB2312"/>
          <w:b w:val="0"/>
          <w:sz w:val="32"/>
        </w:rPr>
        <w:t>6.交通运输支出(类)2,411.30万元,占17.02%。</w:t>
      </w:r>
    </w:p>
    <w:p w14:paraId="2688BF68">
      <w:pPr>
        <w:spacing w:line="580" w:lineRule="exact"/>
        <w:ind w:firstLine="640"/>
        <w:jc w:val="both"/>
      </w:pPr>
      <w:r>
        <w:rPr>
          <w:rFonts w:ascii="仿宋_GB2312" w:hAnsi="仿宋_GB2312" w:eastAsia="仿宋_GB2312"/>
          <w:b w:val="0"/>
          <w:sz w:val="32"/>
        </w:rPr>
        <w:t>7.商业服务业等支出(类)459.00万元,占3.24%。</w:t>
      </w:r>
    </w:p>
    <w:p w14:paraId="7A26D11A">
      <w:pPr>
        <w:spacing w:line="580" w:lineRule="exact"/>
        <w:ind w:firstLine="640"/>
        <w:jc w:val="both"/>
      </w:pPr>
      <w:r>
        <w:rPr>
          <w:rFonts w:ascii="仿宋_GB2312" w:hAnsi="仿宋_GB2312" w:eastAsia="仿宋_GB2312"/>
          <w:b w:val="0"/>
          <w:sz w:val="32"/>
        </w:rPr>
        <w:t>8.住房保障支出(类)48.19万元,占0.34%。</w:t>
      </w:r>
    </w:p>
    <w:p w14:paraId="7031110A">
      <w:pPr>
        <w:spacing w:line="640" w:lineRule="exact"/>
        <w:ind w:firstLine="640"/>
        <w:jc w:val="both"/>
        <w:outlineLvl w:val="3"/>
      </w:pPr>
      <w:r>
        <w:rPr>
          <w:rFonts w:ascii="楷体_GB2312" w:hAnsi="楷体_GB2312" w:eastAsia="楷体_GB2312"/>
          <w:b/>
          <w:sz w:val="32"/>
        </w:rPr>
        <w:t>（三）一般公共预算财政拨款支出决算具体情况</w:t>
      </w:r>
    </w:p>
    <w:p w14:paraId="1FAE9DA9">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1,442.03万元，比上年决算减少287.78万元，下降16.64%,主要原因是：本年新成立公安分局预算单位，聘用人员转出，导致人员经费支出及公用经费支出减少。</w:t>
      </w:r>
    </w:p>
    <w:p w14:paraId="20D98D03">
      <w:pPr>
        <w:spacing w:line="580" w:lineRule="exact"/>
        <w:ind w:firstLine="640"/>
        <w:jc w:val="both"/>
      </w:pPr>
      <w:r>
        <w:rPr>
          <w:rFonts w:ascii="仿宋_GB2312" w:hAnsi="仿宋_GB2312" w:eastAsia="仿宋_GB2312"/>
          <w:b w:val="0"/>
          <w:sz w:val="32"/>
        </w:rPr>
        <w:t>2.一般公共服务支出(类)海关事务(款)其他海关事务支出(项):支出决算数为105.00万元，比上年决算增加105.00万元，增长100.00%,主要原因是：本年为保障口岸通关运行，增加2024年海关扶持资金项目，导致其他海关事务支出增加。</w:t>
      </w:r>
    </w:p>
    <w:p w14:paraId="09160D83">
      <w:pPr>
        <w:spacing w:line="580" w:lineRule="exact"/>
        <w:ind w:firstLine="640"/>
        <w:jc w:val="both"/>
      </w:pPr>
      <w:r>
        <w:rPr>
          <w:rFonts w:ascii="仿宋_GB2312" w:hAnsi="仿宋_GB2312" w:eastAsia="仿宋_GB2312"/>
          <w:b w:val="0"/>
          <w:sz w:val="32"/>
        </w:rPr>
        <w:t>3.一般公共服务支出(类)商贸事务(款)其他商贸事务支出(项):支出决算数为60.85万元，比上年决算增加60.85万元，增长100.00%,主要原因是：本年新增2023年免除吊装移位费专项资金项目，导致其他商贸事务支出增加。</w:t>
      </w:r>
    </w:p>
    <w:p w14:paraId="67464C67">
      <w:pPr>
        <w:spacing w:line="580" w:lineRule="exact"/>
        <w:ind w:firstLine="640"/>
        <w:jc w:val="both"/>
      </w:pPr>
      <w:r>
        <w:rPr>
          <w:rFonts w:ascii="仿宋_GB2312" w:hAnsi="仿宋_GB2312" w:eastAsia="仿宋_GB2312"/>
          <w:b w:val="0"/>
          <w:sz w:val="32"/>
        </w:rPr>
        <w:t>4.公共安全支出(类)公安(款)其他公安支出(项):支出决算数为0.00万元，比上年决算减少3.60万元，下降100.00%,主要原因是：本年新成立公安分局预算单位，辅警人员转出，导致其他公安支出减少。</w:t>
      </w:r>
    </w:p>
    <w:p w14:paraId="4E58D28A">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71.17万元，比上年决算减少67.21万元，下降48.57%,主要原因是：本年广播站由第三方运行，委托业务费减少，导致其他文化旅游体育与传媒支出减少。</w:t>
      </w:r>
    </w:p>
    <w:p w14:paraId="6B95C41F">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67.10万元，比上年决算减少51.95万元，下降43.64%,主要原因是：本年公安分局成立单独预算单位，辅警人员转出，导致机关事业单位基本养老保险缴费支出减少。</w:t>
      </w:r>
    </w:p>
    <w:p w14:paraId="1CE6E25B">
      <w:pPr>
        <w:spacing w:line="580" w:lineRule="exact"/>
        <w:ind w:firstLine="640"/>
        <w:jc w:val="both"/>
      </w:pPr>
      <w:r>
        <w:rPr>
          <w:rFonts w:ascii="仿宋_GB2312" w:hAnsi="仿宋_GB2312" w:eastAsia="仿宋_GB2312"/>
          <w:b w:val="0"/>
          <w:sz w:val="32"/>
        </w:rPr>
        <w:t>7.社会保障和就业支出(类)其他社会保障和就业支出(款)其他社会保障和就业支出(项):支出决算数为1.78万元，比上年决算减少2.53万元，下降58.70%,主要原因是：本年公安分局成立单独预算单位，辅警人员转出，导致其他社会保障和就业支出减少。</w:t>
      </w:r>
    </w:p>
    <w:p w14:paraId="34A94194">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63.00万元，下降100.00%,主要原因是：本年YQFK项目支出已支付完毕，导致今年无突发公共卫生事件应急处理支出。</w:t>
      </w:r>
    </w:p>
    <w:p w14:paraId="075565A1">
      <w:pPr>
        <w:spacing w:line="580" w:lineRule="exact"/>
        <w:ind w:firstLine="640"/>
        <w:jc w:val="both"/>
      </w:pPr>
      <w:r>
        <w:rPr>
          <w:rFonts w:ascii="仿宋_GB2312" w:hAnsi="仿宋_GB2312" w:eastAsia="仿宋_GB2312"/>
          <w:b w:val="0"/>
          <w:sz w:val="32"/>
        </w:rPr>
        <w:t>9.卫生健康支出(类)行政事业单位医疗(款)行政单位医疗(项):支出决算数为34.54万元，比上年决算减少27.50万元，下降44.33%,主要原因是：本年公安分局成立单独预算单位，辅警人员转出，导致行政单位医疗减少。</w:t>
      </w:r>
    </w:p>
    <w:p w14:paraId="2B566580">
      <w:pPr>
        <w:spacing w:line="580" w:lineRule="exact"/>
        <w:ind w:firstLine="640"/>
        <w:jc w:val="both"/>
      </w:pPr>
      <w:r>
        <w:rPr>
          <w:rFonts w:ascii="仿宋_GB2312" w:hAnsi="仿宋_GB2312" w:eastAsia="仿宋_GB2312"/>
          <w:b w:val="0"/>
          <w:sz w:val="32"/>
        </w:rPr>
        <w:t>10.城乡社区支出(类)城乡社区公共设施(款)小城镇基础设施建设(项):支出决算数为2,281.81万元，比上年决算增加1,425.72万元，增长166.54%,主要原因是：本年增加都拉塔口岸基础设施升级改造项目（2024年供排水）、常青路建设项目等，导致小城镇基础设施建设支出较上年增加。</w:t>
      </w:r>
    </w:p>
    <w:p w14:paraId="7E0DDED9">
      <w:pPr>
        <w:spacing w:line="580" w:lineRule="exact"/>
        <w:ind w:firstLine="640"/>
        <w:jc w:val="both"/>
      </w:pPr>
      <w:r>
        <w:rPr>
          <w:rFonts w:ascii="仿宋_GB2312" w:hAnsi="仿宋_GB2312" w:eastAsia="仿宋_GB2312"/>
          <w:b w:val="0"/>
          <w:sz w:val="32"/>
        </w:rPr>
        <w:t>11.城乡社区支出(类)城乡社区公共设施(款)其他城乡社区公共设施支出(项):支出决算数为7,184.22万元，比上年决算增加4,242.39万元，增长144.21%,主要原因是：本年增加通关基础设施能力提升项目，导致其他城乡社区公共设施支出较上年增加。</w:t>
      </w:r>
    </w:p>
    <w:p w14:paraId="4A93B2A5">
      <w:pPr>
        <w:spacing w:line="580" w:lineRule="exact"/>
        <w:ind w:firstLine="640"/>
        <w:jc w:val="both"/>
      </w:pPr>
      <w:r>
        <w:rPr>
          <w:rFonts w:ascii="仿宋_GB2312" w:hAnsi="仿宋_GB2312" w:eastAsia="仿宋_GB2312"/>
          <w:b w:val="0"/>
          <w:sz w:val="32"/>
        </w:rPr>
        <w:t>12.交通运输支出(类)公路水路运输(款)口岸建设(项):支出决算数为2,411.30万元，比上年决算增加1,742.89万元，增长260.75%,主要原因是：本年新增都拉塔口岸道路基础设施能力提升建设项目（2024年喀什路），导致口岸建设较上年增加。</w:t>
      </w:r>
    </w:p>
    <w:p w14:paraId="395CAFCD">
      <w:pPr>
        <w:spacing w:line="580" w:lineRule="exact"/>
        <w:ind w:firstLine="640"/>
        <w:jc w:val="both"/>
      </w:pPr>
      <w:r>
        <w:rPr>
          <w:rFonts w:ascii="仿宋_GB2312" w:hAnsi="仿宋_GB2312" w:eastAsia="仿宋_GB2312"/>
          <w:b w:val="0"/>
          <w:sz w:val="32"/>
        </w:rPr>
        <w:t>13.商业服务业等支出(类)涉外发展服务支出(款)其他涉外发展服务支出(项):支出决算数为459.00万元，比上年决算减少56.90万元，下降11.03%,主要原因是：本年产业发展帮扶专项资金项目较去年支出减少。</w:t>
      </w:r>
    </w:p>
    <w:p w14:paraId="1ADB580A">
      <w:pPr>
        <w:spacing w:line="580" w:lineRule="exact"/>
        <w:ind w:firstLine="640"/>
        <w:jc w:val="both"/>
      </w:pPr>
      <w:r>
        <w:rPr>
          <w:rFonts w:ascii="仿宋_GB2312" w:hAnsi="仿宋_GB2312" w:eastAsia="仿宋_GB2312"/>
          <w:b w:val="0"/>
          <w:sz w:val="32"/>
        </w:rPr>
        <w:t>14.住房保障支出(类)住房改革支出(款)住房公积金(项):支出决算数为48.19万元，比上年决算增加4.25万元，增长9.67%,主要原因是：本年在职人员增加一人、工资调薪，住房公积金缴费增加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相应支出增加</w:t>
      </w:r>
      <w:r>
        <w:rPr>
          <w:rFonts w:ascii="仿宋_GB2312" w:hAnsi="仿宋_GB2312" w:eastAsia="仿宋_GB2312"/>
          <w:b w:val="0"/>
          <w:sz w:val="32"/>
        </w:rPr>
        <w:t>。</w:t>
      </w:r>
    </w:p>
    <w:p w14:paraId="6468B19D">
      <w:pPr>
        <w:spacing w:line="640" w:lineRule="exact"/>
        <w:ind w:firstLine="640"/>
        <w:jc w:val="both"/>
        <w:outlineLvl w:val="2"/>
      </w:pPr>
      <w:r>
        <w:rPr>
          <w:rFonts w:ascii="黑体" w:hAnsi="黑体" w:eastAsia="黑体"/>
          <w:sz w:val="32"/>
        </w:rPr>
        <w:t>六、一般公共预算财政拨款基本支出决算情况说明</w:t>
      </w:r>
    </w:p>
    <w:p w14:paraId="6567D633">
      <w:pPr>
        <w:spacing w:line="580" w:lineRule="exact"/>
        <w:ind w:firstLine="640"/>
        <w:jc w:val="both"/>
      </w:pPr>
      <w:r>
        <w:rPr>
          <w:rFonts w:ascii="仿宋_GB2312" w:hAnsi="仿宋_GB2312" w:eastAsia="仿宋_GB2312"/>
          <w:b w:val="0"/>
          <w:sz w:val="32"/>
        </w:rPr>
        <w:t>2024年度一般公共预算财政拨款基本支出1,769.81万元，其中：</w:t>
      </w:r>
      <w:r>
        <w:rPr>
          <w:rFonts w:ascii="仿宋_GB2312" w:hAnsi="仿宋_GB2312" w:eastAsia="仿宋_GB2312"/>
          <w:b/>
          <w:sz w:val="32"/>
        </w:rPr>
        <w:t>人员经费834.72万元，</w:t>
      </w:r>
      <w:r>
        <w:rPr>
          <w:rFonts w:ascii="仿宋_GB2312" w:hAnsi="仿宋_GB2312" w:eastAsia="仿宋_GB2312"/>
          <w:b w:val="0"/>
          <w:sz w:val="32"/>
        </w:rPr>
        <w:t>包括：基本工资、津贴补贴、奖金、伙食补助费、机关事业单位基本养老保险缴费、职工基本医疗保险缴费、其他社会保障缴费、住房公积金、其他工资福利支出。</w:t>
      </w:r>
    </w:p>
    <w:p w14:paraId="1CEC2C2C">
      <w:pPr>
        <w:spacing w:line="580" w:lineRule="exact"/>
        <w:ind w:firstLine="640"/>
        <w:jc w:val="both"/>
      </w:pPr>
      <w:r>
        <w:rPr>
          <w:rFonts w:ascii="仿宋_GB2312" w:hAnsi="仿宋_GB2312" w:eastAsia="仿宋_GB2312"/>
          <w:b/>
          <w:sz w:val="32"/>
        </w:rPr>
        <w:t>公用经费935.09万元，</w:t>
      </w:r>
      <w:r>
        <w:rPr>
          <w:rFonts w:ascii="仿宋_GB2312" w:hAnsi="仿宋_GB2312" w:eastAsia="仿宋_GB2312"/>
          <w:b w:val="0"/>
          <w:sz w:val="32"/>
        </w:rPr>
        <w:t>包括：办公费、印刷费、水费、电费、邮电费、取暖费、差旅费、维修（护）费、公务接待费、专用材料费、劳务费、委托业务费、工会经费、福利费、公务用车运行维护费、其他交通费用。</w:t>
      </w:r>
    </w:p>
    <w:p w14:paraId="10952248">
      <w:pPr>
        <w:spacing w:line="640" w:lineRule="exact"/>
        <w:ind w:firstLine="640"/>
        <w:jc w:val="both"/>
        <w:outlineLvl w:val="2"/>
      </w:pPr>
      <w:r>
        <w:rPr>
          <w:rFonts w:ascii="黑体" w:hAnsi="黑体" w:eastAsia="黑体"/>
          <w:sz w:val="32"/>
        </w:rPr>
        <w:t>七、政府性基金预算财政拨款收入支出决算情况说明</w:t>
      </w:r>
    </w:p>
    <w:p w14:paraId="6E986360">
      <w:pPr>
        <w:spacing w:line="580" w:lineRule="exact"/>
        <w:ind w:firstLine="640"/>
        <w:jc w:val="both"/>
      </w:pPr>
      <w:r>
        <w:rPr>
          <w:rFonts w:ascii="仿宋_GB2312" w:hAnsi="仿宋_GB2312" w:eastAsia="仿宋_GB2312"/>
          <w:b/>
          <w:sz w:val="32"/>
        </w:rPr>
        <w:t>2024年度政府性基金预算财政拨款收入总计3,600.04万元，</w:t>
      </w:r>
      <w:r>
        <w:rPr>
          <w:rFonts w:ascii="仿宋_GB2312" w:hAnsi="仿宋_GB2312" w:eastAsia="仿宋_GB2312"/>
          <w:b w:val="0"/>
          <w:sz w:val="32"/>
        </w:rPr>
        <w:t>其中：年初结转和结余0.00万元，本年收入3,600.04万元。</w:t>
      </w:r>
      <w:r>
        <w:rPr>
          <w:rFonts w:ascii="仿宋_GB2312" w:hAnsi="仿宋_GB2312" w:eastAsia="仿宋_GB2312"/>
          <w:b/>
          <w:sz w:val="32"/>
        </w:rPr>
        <w:t>政府性基金预算财政拨款支出总计3,600.04万元，</w:t>
      </w:r>
      <w:r>
        <w:rPr>
          <w:rFonts w:ascii="仿宋_GB2312" w:hAnsi="仿宋_GB2312" w:eastAsia="仿宋_GB2312"/>
          <w:b w:val="0"/>
          <w:sz w:val="32"/>
        </w:rPr>
        <w:t>其中：年末结转和结余0.00万元，本年支出3,600.04万元。</w:t>
      </w:r>
    </w:p>
    <w:p w14:paraId="7D1E354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增加600.04万元，增长20.00%，主要原因是：本年新增2024年城市配套费安排的支出项目、伊犁州都拉塔口岸出口货物疏运集散中心建设项目。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年初预算数0.00万元，决算数3,600.04万元，预决算差异率100.00%，主要原因是：年中追加2024年城市配套费安排的支出项目、伊犁州都拉塔口岸出口货物疏运集散中心建设项目，导致预决算存在差异。</w:t>
      </w:r>
    </w:p>
    <w:p w14:paraId="17237ECC">
      <w:pPr>
        <w:spacing w:line="580" w:lineRule="exact"/>
        <w:ind w:firstLine="640"/>
        <w:jc w:val="both"/>
      </w:pPr>
      <w:r>
        <w:rPr>
          <w:rFonts w:ascii="仿宋_GB2312" w:hAnsi="仿宋_GB2312" w:eastAsia="仿宋_GB2312"/>
          <w:b w:val="0"/>
          <w:sz w:val="32"/>
        </w:rPr>
        <w:t>政府性基金预算财政拨款支出3,600.04万元。</w:t>
      </w:r>
    </w:p>
    <w:p w14:paraId="5177EEBC">
      <w:pPr>
        <w:spacing w:line="580" w:lineRule="exact"/>
        <w:ind w:firstLine="640"/>
        <w:jc w:val="both"/>
      </w:pPr>
      <w:r>
        <w:rPr>
          <w:rFonts w:ascii="仿宋_GB2312" w:hAnsi="仿宋_GB2312" w:eastAsia="仿宋_GB2312"/>
          <w:b w:val="0"/>
          <w:sz w:val="32"/>
        </w:rPr>
        <w:t>1.城乡社区支出(类)城市基础设施配套费安排的支出(款)城市公共设施(项):支出决算数为128.08万元，比上年决算增加128.08万元，增长100.00%,主要原因是：本年新增2024年城市配套费安排的支出项目。</w:t>
      </w:r>
    </w:p>
    <w:p w14:paraId="585C87FE">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3,471.96万元，比上年决算增加471.96万元，增长15.73%,主要原因是：本年新增伊犁州都拉塔口岸出口货物疏运集散中心建设项目。</w:t>
      </w:r>
    </w:p>
    <w:p w14:paraId="7087A80A">
      <w:pPr>
        <w:spacing w:line="640" w:lineRule="exact"/>
        <w:ind w:firstLine="640"/>
        <w:jc w:val="both"/>
        <w:outlineLvl w:val="2"/>
      </w:pPr>
      <w:r>
        <w:rPr>
          <w:rFonts w:ascii="黑体" w:hAnsi="黑体" w:eastAsia="黑体"/>
          <w:sz w:val="32"/>
        </w:rPr>
        <w:t>八、国有资本经营预算财政拨款收入支出决算情况说明</w:t>
      </w:r>
    </w:p>
    <w:p w14:paraId="7EED495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41FAAA0">
      <w:pPr>
        <w:spacing w:line="640" w:lineRule="exact"/>
        <w:ind w:firstLine="640"/>
        <w:jc w:val="both"/>
        <w:outlineLvl w:val="2"/>
      </w:pPr>
      <w:r>
        <w:rPr>
          <w:rFonts w:ascii="黑体" w:hAnsi="黑体" w:eastAsia="黑体"/>
          <w:sz w:val="32"/>
        </w:rPr>
        <w:t>九、财政拨款“三公”经费支出决算情况说明</w:t>
      </w:r>
    </w:p>
    <w:p w14:paraId="7114E709">
      <w:pPr>
        <w:spacing w:line="580" w:lineRule="exact"/>
        <w:ind w:firstLine="640"/>
        <w:jc w:val="both"/>
      </w:pPr>
      <w:r>
        <w:rPr>
          <w:rFonts w:ascii="仿宋_GB2312" w:hAnsi="仿宋_GB2312" w:eastAsia="仿宋_GB2312"/>
          <w:b/>
          <w:sz w:val="32"/>
        </w:rPr>
        <w:t>2024年度财政拨款“三公”经费支出13.04万元，</w:t>
      </w:r>
      <w:r>
        <w:rPr>
          <w:rFonts w:ascii="仿宋_GB2312" w:hAnsi="仿宋_GB2312" w:eastAsia="仿宋_GB2312"/>
          <w:b w:val="0"/>
          <w:sz w:val="32"/>
        </w:rPr>
        <w:t>比上年减少2.42万元，下降15.65%，主要原因是：严格落实中央八项规定精神，厉行节约，减少公务接待费。其中：因公出国（境）费支出0.00万元，占0.00%，比上年增加0.00万元，增长0.00%，主要原因是：2023年与2024年均未安排因公出国（境）费支出。公务用车购置及运行维护费支出11.83万元，占90.72%，比上年增加0.37万元，增长3.23%，主要原因是：本年因业务需求，用车次数增加，燃油费增加，导致公务用车运行维护费较上年增加。公务接待费支出1.21万元，占9.28%，比上年减少2.79万元，下降69.75%，主要原因是：严格落实中央八项规定精神，厉行节约，减少公务接待费。</w:t>
      </w:r>
    </w:p>
    <w:p w14:paraId="66278365">
      <w:pPr>
        <w:spacing w:line="580" w:lineRule="exact"/>
        <w:ind w:firstLine="640"/>
        <w:jc w:val="both"/>
      </w:pPr>
      <w:r>
        <w:rPr>
          <w:rFonts w:ascii="仿宋_GB2312" w:hAnsi="仿宋_GB2312" w:eastAsia="仿宋_GB2312"/>
          <w:b/>
          <w:sz w:val="32"/>
        </w:rPr>
        <w:t>具体情况如下：</w:t>
      </w:r>
    </w:p>
    <w:p w14:paraId="000BA5A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5CDD0C">
      <w:pPr>
        <w:spacing w:line="580" w:lineRule="exact"/>
        <w:ind w:firstLine="640"/>
        <w:jc w:val="both"/>
      </w:pPr>
      <w:r>
        <w:rPr>
          <w:rFonts w:ascii="仿宋_GB2312" w:hAnsi="仿宋_GB2312" w:eastAsia="仿宋_GB2312"/>
          <w:b w:val="0"/>
          <w:sz w:val="32"/>
        </w:rPr>
        <w:t>公务用车购置及运行维护费11.83万元，其中：公务用车购置费0.00万元，公务用车运行维护费11.83万元。公务用车运行维护费开支内容包括车辆加油费、维修费、保险费、审车费、过路费等。公务用车购置数0辆，公务用车保有量5辆。国有资产占用情况中固定资产车辆18辆，与公务用车保有量差异原因是：固定资产平台包括执法执勤用车、应急保障用车、消防车辆等，差异车辆费用未使用财政拨款公务用车运行维护费支付。</w:t>
      </w:r>
    </w:p>
    <w:p w14:paraId="0EC5807A">
      <w:pPr>
        <w:spacing w:line="580" w:lineRule="exact"/>
        <w:ind w:firstLine="640"/>
        <w:jc w:val="both"/>
      </w:pPr>
      <w:r>
        <w:rPr>
          <w:rFonts w:ascii="仿宋_GB2312" w:hAnsi="仿宋_GB2312" w:eastAsia="仿宋_GB2312"/>
          <w:b w:val="0"/>
          <w:sz w:val="32"/>
        </w:rPr>
        <w:t>公务接待费1.21万元，开支内容包括接待招</w:t>
      </w:r>
      <w:r>
        <w:rPr>
          <w:rFonts w:hint="eastAsia" w:ascii="仿宋_GB2312" w:hAnsi="仿宋_GB2312" w:eastAsia="仿宋_GB2312"/>
          <w:b w:val="0"/>
          <w:sz w:val="32"/>
          <w:lang w:eastAsia="zh-CN"/>
        </w:rPr>
        <w:t>商引资</w:t>
      </w:r>
      <w:r>
        <w:rPr>
          <w:rFonts w:ascii="仿宋_GB2312" w:hAnsi="仿宋_GB2312" w:eastAsia="仿宋_GB2312"/>
          <w:b w:val="0"/>
          <w:sz w:val="32"/>
        </w:rPr>
        <w:t>客商的餐费。单位全年安排的国内公务接待76批次，230人次。</w:t>
      </w:r>
    </w:p>
    <w:p w14:paraId="17D71C3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13.04万元，决算数13.04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11.83万元，决算数11.83万元，预决算差异率0.00%，主要原因是：严格按照预算执行，预决算无差异。公务接待费全年预算数1.21万元，决算数1.21万元，预决算差异率0.00%，主要原因是：严格按照预算执行，预决算无差异。</w:t>
      </w:r>
    </w:p>
    <w:p w14:paraId="5D1269EF">
      <w:pPr>
        <w:spacing w:line="640" w:lineRule="exact"/>
        <w:ind w:firstLine="640"/>
        <w:jc w:val="both"/>
        <w:outlineLvl w:val="2"/>
      </w:pPr>
      <w:r>
        <w:rPr>
          <w:rFonts w:ascii="黑体" w:hAnsi="黑体" w:eastAsia="黑体"/>
          <w:sz w:val="32"/>
        </w:rPr>
        <w:t>十、其他重要事项的情况说明</w:t>
      </w:r>
    </w:p>
    <w:p w14:paraId="3AFF0858">
      <w:pPr>
        <w:spacing w:line="640" w:lineRule="exact"/>
        <w:ind w:firstLine="640"/>
        <w:jc w:val="both"/>
        <w:outlineLvl w:val="3"/>
      </w:pPr>
      <w:r>
        <w:rPr>
          <w:rFonts w:ascii="楷体_GB2312" w:hAnsi="楷体_GB2312" w:eastAsia="楷体_GB2312"/>
          <w:b/>
          <w:sz w:val="32"/>
        </w:rPr>
        <w:t>（一）机关运行经费及公用经费支出情况</w:t>
      </w:r>
    </w:p>
    <w:p w14:paraId="0D934631">
      <w:pPr>
        <w:spacing w:line="580" w:lineRule="exact"/>
        <w:ind w:firstLine="640"/>
        <w:jc w:val="both"/>
      </w:pPr>
      <w:r>
        <w:rPr>
          <w:rFonts w:ascii="仿宋_GB2312" w:hAnsi="仿宋_GB2312" w:eastAsia="仿宋_GB2312"/>
          <w:b w:val="0"/>
          <w:sz w:val="32"/>
        </w:rPr>
        <w:t>2024年度伊犁哈萨克自治州都拉塔口岸管理委员会（行政单位和参照公务员法管理事业单位）机关运行经费支出935.09万元，比上年增加110.05万元，增长13.34%，主要原因是：为口岸发展需要，做产业规划，本年委托业务费增加。</w:t>
      </w:r>
    </w:p>
    <w:p w14:paraId="057BA258">
      <w:pPr>
        <w:spacing w:line="640" w:lineRule="exact"/>
        <w:ind w:firstLine="640"/>
        <w:jc w:val="both"/>
        <w:outlineLvl w:val="3"/>
      </w:pPr>
      <w:r>
        <w:rPr>
          <w:rFonts w:ascii="楷体_GB2312" w:hAnsi="楷体_GB2312" w:eastAsia="楷体_GB2312"/>
          <w:b/>
          <w:sz w:val="32"/>
        </w:rPr>
        <w:t>（二）政府采购情况</w:t>
      </w:r>
    </w:p>
    <w:p w14:paraId="0D6A69F8">
      <w:pPr>
        <w:spacing w:line="580" w:lineRule="exact"/>
        <w:ind w:firstLine="640"/>
        <w:jc w:val="both"/>
      </w:pPr>
      <w:r>
        <w:rPr>
          <w:rFonts w:ascii="仿宋_GB2312" w:hAnsi="仿宋_GB2312" w:eastAsia="仿宋_GB2312"/>
          <w:b w:val="0"/>
          <w:sz w:val="32"/>
        </w:rPr>
        <w:t>2024年度政府采购支出总额0.49万元，其中：政府采购货物支出0.49万元、政府采购工程支出0.00万元、政府采购服务支出0.00万元。</w:t>
      </w:r>
    </w:p>
    <w:p w14:paraId="7BC465D4">
      <w:pPr>
        <w:spacing w:line="580" w:lineRule="exact"/>
        <w:ind w:firstLine="640"/>
        <w:jc w:val="both"/>
      </w:pPr>
      <w:r>
        <w:rPr>
          <w:rFonts w:ascii="仿宋_GB2312" w:hAnsi="仿宋_GB2312" w:eastAsia="仿宋_GB2312"/>
          <w:b w:val="0"/>
          <w:sz w:val="32"/>
        </w:rPr>
        <w:t>授予中小企业合同金额0.49万元，占政府采购支出总额的100.00%，其中：授予小微企业合同金额0.49万元，占政府采购支出总额的100.00%。</w:t>
      </w:r>
    </w:p>
    <w:p w14:paraId="37215F17">
      <w:pPr>
        <w:spacing w:line="640" w:lineRule="exact"/>
        <w:ind w:firstLine="640"/>
        <w:jc w:val="both"/>
        <w:outlineLvl w:val="3"/>
      </w:pPr>
      <w:r>
        <w:rPr>
          <w:rFonts w:ascii="楷体_GB2312" w:hAnsi="楷体_GB2312" w:eastAsia="楷体_GB2312"/>
          <w:b/>
          <w:sz w:val="32"/>
        </w:rPr>
        <w:t>（三）国有资产占用情况说明</w:t>
      </w:r>
    </w:p>
    <w:p w14:paraId="4C57DC7E">
      <w:pPr>
        <w:spacing w:line="580" w:lineRule="exact"/>
        <w:ind w:firstLine="640"/>
        <w:jc w:val="both"/>
      </w:pPr>
      <w:r>
        <w:rPr>
          <w:rFonts w:ascii="仿宋_GB2312" w:hAnsi="仿宋_GB2312" w:eastAsia="仿宋_GB2312"/>
          <w:b w:val="0"/>
          <w:sz w:val="32"/>
        </w:rPr>
        <w:t>截至2024年12月31日，房屋81,310.24平方米，价值16,961.34万元。车辆18辆，价值358.29万元，其中：副部（省）级及以上领导用车0辆、主要负责人用车2辆、机要通信用车0辆、应急保障用车3辆、执法执勤用车0辆、特种专业技术用车0辆、离退休干部服务用车0辆、其他用车13辆，其他用车主要是：救护车，消防车辆。单价100万元（含）以上设备（不含车辆）3台（套）。</w:t>
      </w:r>
    </w:p>
    <w:p w14:paraId="702F25C6">
      <w:pPr>
        <w:spacing w:line="640" w:lineRule="exact"/>
        <w:ind w:firstLine="640"/>
        <w:jc w:val="both"/>
        <w:outlineLvl w:val="2"/>
      </w:pPr>
      <w:r>
        <w:rPr>
          <w:rFonts w:ascii="黑体" w:hAnsi="黑体" w:eastAsia="黑体"/>
          <w:sz w:val="32"/>
        </w:rPr>
        <w:t>十一、预算绩效的情况说明</w:t>
      </w:r>
    </w:p>
    <w:p w14:paraId="4F8EEE4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根据预算绩效管理要求，本单位2024年度预算绩效管理形成整体支出绩效自评表1个，全年预算总额17,767.03万元，实际执行总额17,767.03万元；预算绩效评价项目</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10</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288.52</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7,595.91</w:t>
      </w:r>
      <w:r>
        <w:rPr>
          <w:rFonts w:ascii="仿宋_GB2312" w:hAnsi="仿宋_GB2312" w:eastAsia="仿宋_GB2312"/>
          <w:b w:val="0"/>
          <w:sz w:val="32"/>
        </w:rPr>
        <w:t>万元。预算绩效管理取得的成效：</w:t>
      </w:r>
      <w:r>
        <w:rPr>
          <w:rFonts w:hint="eastAsia" w:ascii="仿宋_GB2312" w:hAnsi="仿宋_GB2312" w:eastAsia="仿宋_GB2312"/>
          <w:b w:val="0"/>
          <w:sz w:val="32"/>
          <w:lang w:val="en-US" w:eastAsia="zh-CN"/>
        </w:rPr>
        <w:t>一是</w:t>
      </w:r>
      <w:r>
        <w:rPr>
          <w:rFonts w:ascii="仿宋_GB2312" w:hAnsi="仿宋_GB2312" w:eastAsia="仿宋_GB2312"/>
          <w:b w:val="0"/>
          <w:sz w:val="32"/>
        </w:rPr>
        <w:t>健全组织，加强制度建设夯实基础。</w:t>
      </w:r>
      <w:r>
        <w:rPr>
          <w:rFonts w:hint="eastAsia" w:ascii="仿宋_GB2312" w:hAnsi="仿宋_GB2312" w:eastAsia="仿宋_GB2312"/>
          <w:b w:val="0"/>
          <w:sz w:val="32"/>
          <w:lang w:val="en-US" w:eastAsia="zh-CN"/>
        </w:rPr>
        <w:t>二是</w:t>
      </w:r>
      <w:r>
        <w:rPr>
          <w:rFonts w:ascii="仿宋_GB2312" w:hAnsi="仿宋_GB2312" w:eastAsia="仿宋_GB2312"/>
          <w:b w:val="0"/>
          <w:sz w:val="32"/>
        </w:rPr>
        <w:t>提质增效，全面实施管理链条完整。</w:t>
      </w:r>
      <w:r>
        <w:rPr>
          <w:rFonts w:hint="eastAsia" w:ascii="仿宋_GB2312" w:hAnsi="仿宋_GB2312" w:eastAsia="仿宋_GB2312"/>
          <w:b w:val="0"/>
          <w:sz w:val="32"/>
          <w:lang w:val="en-US" w:eastAsia="zh-CN"/>
        </w:rPr>
        <w:t>三是</w:t>
      </w:r>
      <w:r>
        <w:rPr>
          <w:rFonts w:ascii="仿宋_GB2312" w:hAnsi="仿宋_GB2312" w:eastAsia="仿宋_GB2312"/>
          <w:b w:val="0"/>
          <w:sz w:val="32"/>
        </w:rPr>
        <w:t>责任约束，强化绩效问题整改责任制。健全绩效评价结果反馈制度，将评价结果与实施部门申请来年预算相挂钩切实做到花钱必问效、无效必问责。</w:t>
      </w:r>
      <w:r>
        <w:rPr>
          <w:rFonts w:hint="eastAsia" w:ascii="仿宋_GB2312" w:hAnsi="仿宋_GB2312" w:eastAsia="仿宋_GB2312"/>
          <w:b w:val="0"/>
          <w:sz w:val="32"/>
          <w:lang w:val="en-US" w:eastAsia="zh-CN"/>
        </w:rPr>
        <w:t>四是</w:t>
      </w:r>
      <w:r>
        <w:rPr>
          <w:rFonts w:ascii="仿宋_GB2312" w:hAnsi="仿宋_GB2312" w:eastAsia="仿宋_GB2312"/>
          <w:b w:val="0"/>
          <w:sz w:val="32"/>
        </w:rPr>
        <w:t>信息公开，</w:t>
      </w:r>
      <w:r>
        <w:rPr>
          <w:rFonts w:hint="eastAsia" w:ascii="仿宋_GB2312" w:hAnsi="仿宋_GB2312" w:eastAsia="仿宋_GB2312"/>
          <w:b w:val="0"/>
          <w:sz w:val="32"/>
          <w:lang w:eastAsia="zh-CN"/>
        </w:rPr>
        <w:t>本</w:t>
      </w:r>
      <w:r>
        <w:rPr>
          <w:rFonts w:ascii="仿宋_GB2312" w:hAnsi="仿宋_GB2312" w:eastAsia="仿宋_GB2312"/>
          <w:b w:val="0"/>
          <w:sz w:val="32"/>
        </w:rPr>
        <w:t>单位按照《中华人民共和国政府信息公开条例》（国令〔711〕号）及《伊犁哈萨克自治州人民政府信息公开指南》预决算信息公开工作要求，在伊犁哈萨克自治州人民政府网公开部门预决算信息，并同步公开绩效目标表、自评表及自评报告，广泛接受社会监督。发现的问题及原因：</w:t>
      </w:r>
      <w:r>
        <w:rPr>
          <w:rFonts w:hint="eastAsia" w:ascii="仿宋_GB2312" w:hAnsi="仿宋_GB2312" w:eastAsia="仿宋_GB2312"/>
          <w:b w:val="0"/>
          <w:sz w:val="32"/>
          <w:lang w:val="en-US" w:eastAsia="zh-CN"/>
        </w:rPr>
        <w:t>一是</w:t>
      </w:r>
      <w:r>
        <w:rPr>
          <w:rFonts w:ascii="仿宋_GB2312" w:hAnsi="仿宋_GB2312" w:eastAsia="仿宋_GB2312"/>
          <w:b w:val="0"/>
          <w:sz w:val="32"/>
        </w:rPr>
        <w:t>绩效指标设置不够明确，</w:t>
      </w:r>
      <w:r>
        <w:rPr>
          <w:rFonts w:hint="eastAsia" w:ascii="仿宋_GB2312" w:hAnsi="仿宋_GB2312" w:eastAsia="仿宋_GB2312"/>
          <w:b w:val="0"/>
          <w:sz w:val="32"/>
          <w:lang w:eastAsia="zh-CN"/>
        </w:rPr>
        <w:t>本</w:t>
      </w:r>
      <w:r>
        <w:rPr>
          <w:rFonts w:ascii="仿宋_GB2312" w:hAnsi="仿宋_GB2312" w:eastAsia="仿宋_GB2312"/>
          <w:b w:val="0"/>
          <w:sz w:val="32"/>
        </w:rPr>
        <w:t>单位部分绩效指标设置存在不够精简和指标值设置过低等问题，部分指标设置的科学性、合理性有待进一步提高。</w:t>
      </w:r>
      <w:r>
        <w:rPr>
          <w:rFonts w:hint="eastAsia" w:ascii="仿宋_GB2312" w:hAnsi="仿宋_GB2312" w:eastAsia="仿宋_GB2312"/>
          <w:b w:val="0"/>
          <w:sz w:val="32"/>
          <w:lang w:val="en-US" w:eastAsia="zh-CN"/>
        </w:rPr>
        <w:t>二是</w:t>
      </w:r>
      <w:r>
        <w:rPr>
          <w:rFonts w:ascii="仿宋_GB2312" w:hAnsi="仿宋_GB2312" w:eastAsia="仿宋_GB2312"/>
          <w:b w:val="0"/>
          <w:sz w:val="32"/>
        </w:rPr>
        <w:t>项目监督工作存在薄弱环节，项目实施过程中的上报、跟踪、反馈机制尚未真正形成，对各项目资金的使用、实施等监管措施仍然存在改进的空间。下一步改进措施：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强化部门绩效管理体系建设，一是根据实际管理需求，以制度（办法）的形式，制定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r>
      <w:r>
        <w:rPr>
          <w:rFonts w:hint="eastAsia" w:ascii="仿宋_GB2312" w:hAnsi="仿宋_GB2312" w:eastAsia="仿宋_GB2312"/>
          <w:b w:val="0"/>
          <w:sz w:val="32"/>
          <w:lang w:val="en-US" w:eastAsia="zh-CN"/>
        </w:rPr>
        <w:t>二是</w:t>
      </w:r>
      <w:r>
        <w:rPr>
          <w:rFonts w:ascii="仿宋_GB2312" w:hAnsi="仿宋_GB2312" w:eastAsia="仿宋_GB2312"/>
          <w:b w:val="0"/>
          <w:sz w:val="32"/>
        </w:rPr>
        <w:t>提高项目监管主动性进一步加强主动性，积极探索更有效和积极主动的监管方式，要建立重点项目实施过程的反馈机制，加大对重点部门、重点项目的监控力度，并建立对重点项目实施情况按月度上报机制，及时督促相关项目对政策的落地执行，提高对项目的整体把控能力。具体附整体支出绩效自评表，项目支出绩效自评表和评价报告。</w:t>
      </w:r>
    </w:p>
    <w:p w14:paraId="0F6F4F7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F799EFF">
        <w:tblPrEx>
          <w:tblCellMar>
            <w:top w:w="0" w:type="dxa"/>
            <w:left w:w="108" w:type="dxa"/>
            <w:bottom w:w="0" w:type="dxa"/>
            <w:right w:w="108" w:type="dxa"/>
          </w:tblCellMar>
        </w:tblPrEx>
        <w:tc>
          <w:tcPr>
            <w:tcW w:w="8840" w:type="dxa"/>
            <w:gridSpan w:val="8"/>
            <w:vAlign w:val="center"/>
          </w:tcPr>
          <w:p w14:paraId="6F2DCCE0">
            <w:pPr>
              <w:jc w:val="center"/>
            </w:pPr>
            <w:r>
              <w:rPr>
                <w:rFonts w:ascii="宋体" w:hAnsi="宋体" w:eastAsia="宋体"/>
                <w:sz w:val="24"/>
              </w:rPr>
              <w:t>单位整体支出绩效自评表</w:t>
            </w:r>
          </w:p>
        </w:tc>
      </w:tr>
      <w:tr w14:paraId="70EC3A12">
        <w:tblPrEx>
          <w:tblCellMar>
            <w:top w:w="0" w:type="dxa"/>
            <w:left w:w="108" w:type="dxa"/>
            <w:bottom w:w="0" w:type="dxa"/>
            <w:right w:w="108" w:type="dxa"/>
          </w:tblCellMar>
        </w:tblPrEx>
        <w:tc>
          <w:tcPr>
            <w:tcW w:w="8840" w:type="dxa"/>
            <w:gridSpan w:val="8"/>
            <w:vAlign w:val="center"/>
          </w:tcPr>
          <w:p w14:paraId="0F8966DE">
            <w:pPr>
              <w:jc w:val="center"/>
            </w:pPr>
            <w:r>
              <w:rPr>
                <w:rFonts w:ascii="宋体" w:hAnsi="宋体" w:eastAsia="宋体"/>
                <w:sz w:val="24"/>
              </w:rPr>
              <w:t>（2024年度）</w:t>
            </w:r>
          </w:p>
        </w:tc>
      </w:tr>
      <w:tr w14:paraId="78E39E1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1791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354367">
            <w:pPr>
              <w:jc w:val="center"/>
            </w:pPr>
            <w:r>
              <w:rPr>
                <w:rFonts w:ascii="宋体" w:hAnsi="宋体" w:eastAsia="宋体"/>
                <w:sz w:val="16"/>
              </w:rPr>
              <w:t>伊犁哈萨克自治州都拉塔口岸管理委员会</w:t>
            </w:r>
          </w:p>
        </w:tc>
      </w:tr>
      <w:tr w14:paraId="46B4234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1470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1626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437D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FA66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A108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2AAD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DAA7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44BAB">
            <w:pPr>
              <w:jc w:val="center"/>
            </w:pPr>
            <w:r>
              <w:rPr>
                <w:rFonts w:ascii="宋体" w:hAnsi="宋体" w:eastAsia="宋体"/>
                <w:sz w:val="16"/>
              </w:rPr>
              <w:t>得分</w:t>
            </w:r>
          </w:p>
        </w:tc>
      </w:tr>
      <w:tr w14:paraId="713768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B561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4CFA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D157F">
            <w:pPr>
              <w:jc w:val="center"/>
            </w:pPr>
            <w:r>
              <w:rPr>
                <w:rFonts w:ascii="宋体" w:hAnsi="宋体" w:eastAsia="宋体"/>
                <w:sz w:val="16"/>
              </w:rPr>
              <w:t>6,138.00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9E06C">
            <w:pPr>
              <w:jc w:val="center"/>
            </w:pPr>
            <w:r>
              <w:rPr>
                <w:rFonts w:ascii="宋体" w:hAnsi="宋体" w:eastAsia="宋体"/>
                <w:sz w:val="16"/>
              </w:rPr>
              <w:t>17,767.03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3D33C">
            <w:pPr>
              <w:jc w:val="center"/>
            </w:pPr>
            <w:r>
              <w:rPr>
                <w:rFonts w:ascii="宋体" w:hAnsi="宋体" w:eastAsia="宋体"/>
                <w:sz w:val="16"/>
              </w:rPr>
              <w:t>17,767.03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2ADE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6CDE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7A418">
            <w:pPr>
              <w:jc w:val="center"/>
            </w:pPr>
            <w:r>
              <w:rPr>
                <w:rFonts w:ascii="宋体" w:hAnsi="宋体" w:eastAsia="宋体"/>
                <w:sz w:val="16"/>
              </w:rPr>
              <w:t>10</w:t>
            </w:r>
          </w:p>
        </w:tc>
      </w:tr>
      <w:tr w14:paraId="11CE74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9E88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806A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E0BDB">
            <w:pPr>
              <w:jc w:val="center"/>
            </w:pPr>
            <w:r>
              <w:rPr>
                <w:rFonts w:ascii="宋体" w:hAnsi="宋体" w:eastAsia="宋体"/>
                <w:sz w:val="16"/>
              </w:rPr>
              <w:t>1,019.00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D783E">
            <w:pPr>
              <w:jc w:val="center"/>
            </w:pPr>
            <w:r>
              <w:rPr>
                <w:rFonts w:ascii="宋体" w:hAnsi="宋体" w:eastAsia="宋体"/>
                <w:sz w:val="16"/>
              </w:rPr>
              <w:t>17,163.03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3FD97">
            <w:pPr>
              <w:jc w:val="center"/>
            </w:pPr>
            <w:r>
              <w:rPr>
                <w:rFonts w:ascii="宋体" w:hAnsi="宋体" w:eastAsia="宋体"/>
                <w:sz w:val="16"/>
              </w:rPr>
              <w:t>17,163.03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8132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FBED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A0210">
            <w:pPr>
              <w:jc w:val="center"/>
            </w:pPr>
            <w:r>
              <w:rPr>
                <w:rFonts w:ascii="宋体" w:hAnsi="宋体" w:eastAsia="宋体"/>
                <w:sz w:val="16"/>
              </w:rPr>
              <w:t>-</w:t>
            </w:r>
          </w:p>
        </w:tc>
      </w:tr>
      <w:tr w14:paraId="4F4F3F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E92C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8842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A3B04">
            <w:pPr>
              <w:jc w:val="center"/>
            </w:pPr>
            <w:r>
              <w:rPr>
                <w:rFonts w:ascii="宋体" w:hAnsi="宋体" w:eastAsia="宋体"/>
                <w:sz w:val="16"/>
              </w:rPr>
              <w:t>1,153.00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28FEA">
            <w:pPr>
              <w:jc w:val="center"/>
            </w:pPr>
            <w:r>
              <w:rPr>
                <w:rFonts w:ascii="宋体" w:hAnsi="宋体" w:eastAsia="宋体"/>
                <w:sz w:val="16"/>
              </w:rPr>
              <w:t>604.00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A653E">
            <w:pPr>
              <w:jc w:val="center"/>
            </w:pPr>
            <w:r>
              <w:rPr>
                <w:rFonts w:ascii="宋体" w:hAnsi="宋体" w:eastAsia="宋体"/>
                <w:sz w:val="16"/>
              </w:rPr>
              <w:t>604.00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E09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172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3BA75">
            <w:pPr>
              <w:jc w:val="center"/>
            </w:pPr>
            <w:r>
              <w:rPr>
                <w:rFonts w:ascii="宋体" w:hAnsi="宋体" w:eastAsia="宋体"/>
                <w:sz w:val="16"/>
              </w:rPr>
              <w:t>-</w:t>
            </w:r>
          </w:p>
        </w:tc>
      </w:tr>
      <w:tr w14:paraId="4A3729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96AD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327A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A863B">
            <w:pPr>
              <w:jc w:val="center"/>
            </w:pPr>
            <w:r>
              <w:rPr>
                <w:rFonts w:ascii="宋体" w:hAnsi="宋体" w:eastAsia="宋体"/>
                <w:sz w:val="16"/>
              </w:rPr>
              <w:t>3,966.00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7247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3B3D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D047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15F8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BCB0F">
            <w:pPr>
              <w:jc w:val="center"/>
            </w:pPr>
            <w:r>
              <w:rPr>
                <w:rFonts w:ascii="宋体" w:hAnsi="宋体" w:eastAsia="宋体"/>
                <w:sz w:val="16"/>
              </w:rPr>
              <w:t>-</w:t>
            </w:r>
          </w:p>
        </w:tc>
      </w:tr>
      <w:tr w14:paraId="32E5DAA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7CAC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CC482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94A9E3">
            <w:pPr>
              <w:jc w:val="center"/>
            </w:pPr>
            <w:r>
              <w:rPr>
                <w:rFonts w:ascii="宋体" w:hAnsi="宋体" w:eastAsia="宋体"/>
                <w:sz w:val="16"/>
              </w:rPr>
              <w:t>实际完成情况</w:t>
            </w:r>
          </w:p>
        </w:tc>
      </w:tr>
      <w:tr w14:paraId="771260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1E7D7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5C9760">
            <w:pPr>
              <w:jc w:val="both"/>
            </w:pPr>
            <w:r>
              <w:rPr>
                <w:rFonts w:ascii="宋体" w:hAnsi="宋体" w:eastAsia="宋体"/>
                <w:sz w:val="16"/>
              </w:rPr>
              <w:t>贯彻落实自治区党委十届十次全会精神和自治州党委工作会议精神。一是完成一般公共预算收入1000万元，增长96.46%；外贸进出口总额10亿美元，增长23.91%；招</w:t>
            </w:r>
            <w:r>
              <w:rPr>
                <w:rFonts w:hint="eastAsia" w:ascii="宋体" w:hAnsi="宋体"/>
                <w:sz w:val="16"/>
                <w:lang w:eastAsia="zh-CN"/>
              </w:rPr>
              <w:t>商引资</w:t>
            </w:r>
            <w:r>
              <w:rPr>
                <w:rFonts w:ascii="宋体" w:hAnsi="宋体" w:eastAsia="宋体"/>
                <w:sz w:val="16"/>
              </w:rPr>
              <w:t>到位资金15亿元，增长47.78%，高质量推动口岸经济发展；二是坚持强招商促开放，培养口岸经济发展新增长极；三是抓实项目谋划储备，铸造推动口岸经济增长强力引擎；四是着力提升通关便利化水平，高质量、高标准实施好口岸通关能力整体提质扩能项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68B5A9">
            <w:pPr>
              <w:jc w:val="both"/>
            </w:pPr>
            <w:r>
              <w:rPr>
                <w:rFonts w:ascii="宋体" w:hAnsi="宋体" w:eastAsia="宋体"/>
                <w:sz w:val="16"/>
              </w:rPr>
              <w:t>一是完成一般公共预算收入604万元，增长18.9%；外贸进出口总额8.32亿美元，增长50.1%；建设项目11个，高质量推动口岸经济发展；二是坚持强招商促开放，招</w:t>
            </w:r>
            <w:r>
              <w:rPr>
                <w:rFonts w:hint="eastAsia" w:ascii="宋体" w:hAnsi="宋体"/>
                <w:sz w:val="16"/>
                <w:lang w:eastAsia="zh-CN"/>
              </w:rPr>
              <w:t>商引资</w:t>
            </w:r>
            <w:r>
              <w:rPr>
                <w:rFonts w:ascii="宋体" w:hAnsi="宋体" w:eastAsia="宋体"/>
                <w:sz w:val="16"/>
              </w:rPr>
              <w:t>企业78家，</w:t>
            </w:r>
            <w:r>
              <w:rPr>
                <w:rFonts w:hint="eastAsia" w:ascii="宋体" w:hAnsi="宋体"/>
                <w:sz w:val="16"/>
                <w:lang w:eastAsia="zh-CN"/>
              </w:rPr>
              <w:t>招</w:t>
            </w:r>
            <w:r>
              <w:rPr>
                <w:rFonts w:ascii="宋体" w:hAnsi="宋体" w:eastAsia="宋体"/>
                <w:sz w:val="16"/>
              </w:rPr>
              <w:t>商引资到位资金12亿元，增长38%，培养口岸经济发展新增长极；三是抓实项目谋划储备，全年储备项目24个，铸造推动口岸经济增长强力引擎；四是着力提升通关便利化水平，高质量、高标准实施好口岸通关能力整体提质扩能项目。</w:t>
            </w:r>
          </w:p>
        </w:tc>
      </w:tr>
      <w:tr w14:paraId="255F0C7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B29E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F8B0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1A7A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1996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0E3E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5FA3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CA44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EED5A">
            <w:pPr>
              <w:jc w:val="center"/>
            </w:pPr>
            <w:r>
              <w:rPr>
                <w:rFonts w:ascii="宋体" w:hAnsi="宋体" w:eastAsia="宋体"/>
                <w:sz w:val="16"/>
              </w:rPr>
              <w:t>得分</w:t>
            </w:r>
          </w:p>
        </w:tc>
      </w:tr>
      <w:tr w14:paraId="6E2A89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EBCB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92EF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6764D">
            <w:pPr>
              <w:jc w:val="center"/>
            </w:pPr>
            <w:r>
              <w:rPr>
                <w:rFonts w:ascii="宋体" w:hAnsi="宋体" w:eastAsia="宋体"/>
                <w:sz w:val="16"/>
              </w:rPr>
              <w:t>招商引资企业数量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65597">
            <w:pPr>
              <w:jc w:val="center"/>
            </w:pPr>
            <w:r>
              <w:rPr>
                <w:rFonts w:ascii="宋体" w:hAnsi="宋体" w:eastAsia="宋体"/>
                <w:sz w:val="16"/>
              </w:rPr>
              <w:t>78家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A6DAB">
            <w:pPr>
              <w:jc w:val="center"/>
            </w:pPr>
            <w:r>
              <w:rPr>
                <w:rFonts w:ascii="宋体" w:hAnsi="宋体" w:eastAsia="宋体"/>
                <w:sz w:val="16"/>
              </w:rPr>
              <w:t>《在中共伊犁州都拉塔口岸委员会工作会议上的报告》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471E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E8BBF">
            <w:pPr>
              <w:jc w:val="center"/>
            </w:pPr>
            <w:r>
              <w:rPr>
                <w:rFonts w:ascii="宋体" w:hAnsi="宋体" w:eastAsia="宋体"/>
                <w:sz w:val="16"/>
              </w:rPr>
              <w:t>78家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F6B85">
            <w:pPr>
              <w:jc w:val="center"/>
            </w:pPr>
            <w:r>
              <w:rPr>
                <w:rFonts w:ascii="宋体" w:hAnsi="宋体" w:eastAsia="宋体"/>
                <w:sz w:val="16"/>
              </w:rPr>
              <w:t>15</w:t>
            </w:r>
          </w:p>
        </w:tc>
      </w:tr>
      <w:tr w14:paraId="191D4B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9C36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32EE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3390A">
            <w:pPr>
              <w:jc w:val="center"/>
            </w:pPr>
            <w:r>
              <w:rPr>
                <w:rFonts w:ascii="宋体" w:hAnsi="宋体" w:eastAsia="宋体"/>
                <w:sz w:val="16"/>
              </w:rPr>
              <w:t>全年储备项目个数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A3EF5">
            <w:pPr>
              <w:jc w:val="center"/>
            </w:pPr>
            <w:r>
              <w:rPr>
                <w:rFonts w:ascii="宋体" w:hAnsi="宋体" w:eastAsia="宋体"/>
                <w:sz w:val="16"/>
              </w:rPr>
              <w:t>24个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2B029">
            <w:pPr>
              <w:jc w:val="center"/>
            </w:pPr>
            <w:r>
              <w:rPr>
                <w:rFonts w:ascii="宋体" w:hAnsi="宋体" w:eastAsia="宋体"/>
                <w:sz w:val="16"/>
              </w:rPr>
              <w:t>《在中共伊犁州都拉塔口岸委员会工作会议上的报告》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BB3D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AE93F">
            <w:pPr>
              <w:jc w:val="center"/>
            </w:pPr>
            <w:r>
              <w:rPr>
                <w:rFonts w:ascii="宋体" w:hAnsi="宋体" w:eastAsia="宋体"/>
                <w:sz w:val="16"/>
              </w:rPr>
              <w:t>24个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4F83B">
            <w:pPr>
              <w:jc w:val="center"/>
            </w:pPr>
            <w:r>
              <w:rPr>
                <w:rFonts w:ascii="宋体" w:hAnsi="宋体" w:eastAsia="宋体"/>
                <w:sz w:val="16"/>
              </w:rPr>
              <w:t>15</w:t>
            </w:r>
          </w:p>
        </w:tc>
      </w:tr>
      <w:tr w14:paraId="39A623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66FC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4FE6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EA2B7">
            <w:pPr>
              <w:jc w:val="center"/>
            </w:pPr>
            <w:r>
              <w:rPr>
                <w:rFonts w:ascii="宋体" w:hAnsi="宋体" w:eastAsia="宋体"/>
                <w:sz w:val="16"/>
              </w:rPr>
              <w:t>外贸进出口额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EAACA">
            <w:pPr>
              <w:jc w:val="center"/>
            </w:pPr>
            <w:r>
              <w:rPr>
                <w:rFonts w:ascii="宋体" w:hAnsi="宋体" w:eastAsia="宋体"/>
                <w:sz w:val="16"/>
              </w:rPr>
              <w:t>84305.56万美元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15E1D">
            <w:pPr>
              <w:jc w:val="center"/>
            </w:pPr>
            <w:r>
              <w:rPr>
                <w:rFonts w:ascii="宋体" w:hAnsi="宋体" w:eastAsia="宋体"/>
                <w:sz w:val="16"/>
              </w:rPr>
              <w:t>《在中共伊犁州都拉塔口岸委员会工作会议上的报告》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3C67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E88F9">
            <w:pPr>
              <w:jc w:val="center"/>
            </w:pPr>
            <w:r>
              <w:rPr>
                <w:rFonts w:ascii="宋体" w:hAnsi="宋体" w:eastAsia="宋体"/>
                <w:sz w:val="16"/>
              </w:rPr>
              <w:t>84305.56万美元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16B54">
            <w:pPr>
              <w:jc w:val="center"/>
            </w:pPr>
            <w:r>
              <w:rPr>
                <w:rFonts w:ascii="宋体" w:hAnsi="宋体" w:eastAsia="宋体"/>
                <w:sz w:val="16"/>
              </w:rPr>
              <w:t>12.65</w:t>
            </w:r>
          </w:p>
        </w:tc>
      </w:tr>
      <w:tr w14:paraId="008523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8F0AF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E4F2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E1979">
            <w:pPr>
              <w:jc w:val="center"/>
            </w:pPr>
            <w:r>
              <w:rPr>
                <w:rFonts w:ascii="宋体" w:hAnsi="宋体" w:eastAsia="宋体"/>
                <w:sz w:val="16"/>
              </w:rPr>
              <w:t>招商引资到位资金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D0798">
            <w:pPr>
              <w:jc w:val="center"/>
            </w:pPr>
            <w:r>
              <w:rPr>
                <w:rFonts w:ascii="宋体" w:hAnsi="宋体" w:eastAsia="宋体"/>
                <w:sz w:val="16"/>
              </w:rPr>
              <w:t>120000万元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0B1CA">
            <w:pPr>
              <w:jc w:val="center"/>
            </w:pPr>
            <w:r>
              <w:rPr>
                <w:rFonts w:ascii="宋体" w:hAnsi="宋体" w:eastAsia="宋体"/>
                <w:sz w:val="16"/>
              </w:rPr>
              <w:t>《在中共伊犁州都拉塔口岸委员会工作会议上的报告》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5727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48114">
            <w:pPr>
              <w:jc w:val="center"/>
            </w:pPr>
            <w:r>
              <w:rPr>
                <w:rFonts w:ascii="宋体" w:hAnsi="宋体" w:eastAsia="宋体"/>
                <w:sz w:val="16"/>
              </w:rPr>
              <w:t>120000万元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3F6A1">
            <w:pPr>
              <w:jc w:val="center"/>
            </w:pPr>
            <w:r>
              <w:rPr>
                <w:rFonts w:ascii="宋体" w:hAnsi="宋体" w:eastAsia="宋体"/>
                <w:sz w:val="16"/>
              </w:rPr>
              <w:t>12</w:t>
            </w:r>
          </w:p>
        </w:tc>
      </w:tr>
      <w:tr w14:paraId="098B10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CEA4E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16B7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30CDD">
            <w:pPr>
              <w:jc w:val="center"/>
            </w:pPr>
            <w:r>
              <w:rPr>
                <w:rFonts w:ascii="宋体" w:hAnsi="宋体" w:eastAsia="宋体"/>
                <w:sz w:val="16"/>
              </w:rPr>
              <w:t>口岸建设项目个数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8A4A3">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E167F">
            <w:pPr>
              <w:jc w:val="center"/>
            </w:pPr>
            <w:r>
              <w:rPr>
                <w:rFonts w:ascii="宋体" w:hAnsi="宋体" w:eastAsia="宋体"/>
                <w:sz w:val="16"/>
              </w:rPr>
              <w:t>《在中共伊犁州都拉塔口岸委员会工作会议上的报告》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B879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DAFBB">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4B76D">
            <w:pPr>
              <w:jc w:val="center"/>
            </w:pPr>
            <w:r>
              <w:rPr>
                <w:rFonts w:ascii="宋体" w:hAnsi="宋体" w:eastAsia="宋体"/>
                <w:sz w:val="16"/>
              </w:rPr>
              <w:t>15</w:t>
            </w:r>
          </w:p>
        </w:tc>
      </w:tr>
      <w:tr w14:paraId="2B584EA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2093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190C1">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AAA26">
            <w:pPr>
              <w:jc w:val="center"/>
            </w:pPr>
            <w:r>
              <w:rPr>
                <w:rFonts w:ascii="宋体" w:hAnsi="宋体" w:eastAsia="宋体"/>
                <w:sz w:val="16"/>
              </w:rPr>
              <w:t>完成一般公共预算收入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843F9">
            <w:pPr>
              <w:jc w:val="center"/>
            </w:pPr>
            <w:r>
              <w:rPr>
                <w:rFonts w:ascii="宋体" w:hAnsi="宋体" w:eastAsia="宋体"/>
                <w:sz w:val="16"/>
              </w:rPr>
              <w:t>604万元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89F31">
            <w:pPr>
              <w:jc w:val="center"/>
            </w:pPr>
            <w:r>
              <w:rPr>
                <w:rFonts w:ascii="宋体" w:hAnsi="宋体" w:eastAsia="宋体"/>
                <w:sz w:val="16"/>
              </w:rPr>
              <w:t>《在中共伊犁州都拉塔口岸委员会工作会议上的报告》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ECE5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75238">
            <w:pPr>
              <w:jc w:val="center"/>
            </w:pPr>
            <w:r>
              <w:rPr>
                <w:rFonts w:ascii="宋体" w:hAnsi="宋体" w:eastAsia="宋体"/>
                <w:sz w:val="16"/>
              </w:rPr>
              <w:t>604万元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9B1B8">
            <w:pPr>
              <w:jc w:val="center"/>
            </w:pPr>
            <w:r>
              <w:rPr>
                <w:rFonts w:ascii="宋体" w:hAnsi="宋体" w:eastAsia="宋体"/>
                <w:sz w:val="16"/>
              </w:rPr>
              <w:t>9.06</w:t>
            </w:r>
          </w:p>
        </w:tc>
      </w:tr>
    </w:tbl>
    <w:p w14:paraId="1CAB8F15">
      <w:r>
        <w:br w:type="page"/>
      </w:r>
    </w:p>
    <w:tbl>
      <w:tblPr>
        <w:tblStyle w:val="9"/>
        <w:tblW w:w="0" w:type="auto"/>
        <w:tblInd w:w="0" w:type="dxa"/>
        <w:tblLayout w:type="autofit"/>
        <w:tblCellMar>
          <w:top w:w="0" w:type="dxa"/>
          <w:left w:w="108" w:type="dxa"/>
          <w:bottom w:w="0" w:type="dxa"/>
          <w:right w:w="108" w:type="dxa"/>
        </w:tblCellMar>
      </w:tblPr>
      <w:tblGrid>
        <w:gridCol w:w="595"/>
        <w:gridCol w:w="535"/>
        <w:gridCol w:w="535"/>
        <w:gridCol w:w="535"/>
        <w:gridCol w:w="536"/>
        <w:gridCol w:w="1016"/>
        <w:gridCol w:w="936"/>
        <w:gridCol w:w="696"/>
        <w:gridCol w:w="596"/>
        <w:gridCol w:w="536"/>
        <w:gridCol w:w="536"/>
        <w:gridCol w:w="536"/>
        <w:gridCol w:w="536"/>
        <w:gridCol w:w="936"/>
      </w:tblGrid>
      <w:tr w14:paraId="586CB666">
        <w:tblPrEx>
          <w:tblCellMar>
            <w:top w:w="0" w:type="dxa"/>
            <w:left w:w="108" w:type="dxa"/>
            <w:bottom w:w="0" w:type="dxa"/>
            <w:right w:w="108" w:type="dxa"/>
          </w:tblCellMar>
        </w:tblPrEx>
        <w:tc>
          <w:tcPr>
            <w:tcW w:w="8848" w:type="dxa"/>
            <w:gridSpan w:val="14"/>
            <w:vAlign w:val="center"/>
          </w:tcPr>
          <w:p w14:paraId="65F6A30B">
            <w:pPr>
              <w:jc w:val="center"/>
            </w:pPr>
            <w:r>
              <w:rPr>
                <w:rFonts w:ascii="宋体" w:hAnsi="宋体" w:eastAsia="宋体"/>
                <w:sz w:val="24"/>
              </w:rPr>
              <w:t>项目支出绩效自评表</w:t>
            </w:r>
          </w:p>
        </w:tc>
      </w:tr>
      <w:tr w14:paraId="43317FFC">
        <w:tblPrEx>
          <w:tblCellMar>
            <w:top w:w="0" w:type="dxa"/>
            <w:left w:w="108" w:type="dxa"/>
            <w:bottom w:w="0" w:type="dxa"/>
            <w:right w:w="108" w:type="dxa"/>
          </w:tblCellMar>
        </w:tblPrEx>
        <w:tc>
          <w:tcPr>
            <w:tcW w:w="8848" w:type="dxa"/>
            <w:gridSpan w:val="14"/>
            <w:vAlign w:val="center"/>
          </w:tcPr>
          <w:p w14:paraId="2D3D71D0">
            <w:pPr>
              <w:jc w:val="center"/>
            </w:pPr>
            <w:r>
              <w:rPr>
                <w:rFonts w:ascii="宋体" w:hAnsi="宋体" w:eastAsia="宋体"/>
                <w:sz w:val="24"/>
              </w:rPr>
              <w:t>(2024年度)</w:t>
            </w:r>
          </w:p>
        </w:tc>
      </w:tr>
      <w:tr w14:paraId="0C7A76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1D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D27659">
            <w:pPr>
              <w:jc w:val="center"/>
            </w:pPr>
            <w:r>
              <w:rPr>
                <w:rFonts w:ascii="宋体" w:hAnsi="宋体" w:eastAsia="宋体"/>
                <w:sz w:val="16"/>
              </w:rPr>
              <w:t>2023-2024年管委会采暖费</w:t>
            </w:r>
          </w:p>
        </w:tc>
      </w:tr>
      <w:tr w14:paraId="3CF292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82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8E36DC">
            <w:pPr>
              <w:jc w:val="center"/>
            </w:pPr>
            <w:r>
              <w:rPr>
                <w:rFonts w:ascii="宋体" w:hAnsi="宋体" w:eastAsia="宋体"/>
                <w:sz w:val="16"/>
              </w:rPr>
              <w:t>伊犁哈萨克自治州都拉塔口岸管委会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B6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619647">
            <w:pPr>
              <w:jc w:val="center"/>
            </w:pPr>
            <w:r>
              <w:rPr>
                <w:rFonts w:ascii="宋体" w:hAnsi="宋体" w:eastAsia="宋体"/>
                <w:sz w:val="16"/>
              </w:rPr>
              <w:t>伊犁哈萨克自治州都拉塔口岸管委会</w:t>
            </w:r>
          </w:p>
        </w:tc>
      </w:tr>
      <w:tr w14:paraId="37DB03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C759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A37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329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732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AB9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C86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8AA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1A634">
            <w:pPr>
              <w:jc w:val="center"/>
            </w:pPr>
            <w:r>
              <w:rPr>
                <w:rFonts w:ascii="宋体" w:hAnsi="宋体" w:eastAsia="宋体"/>
                <w:sz w:val="16"/>
              </w:rPr>
              <w:t>得分</w:t>
            </w:r>
          </w:p>
        </w:tc>
      </w:tr>
      <w:tr w14:paraId="049E8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9D6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D5B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6F9A1">
            <w:pPr>
              <w:jc w:val="center"/>
            </w:pPr>
            <w:r>
              <w:rPr>
                <w:rFonts w:ascii="宋体" w:hAnsi="宋体" w:eastAsia="宋体"/>
                <w:sz w:val="16"/>
              </w:rPr>
              <w:t>66.30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27E38">
            <w:pPr>
              <w:jc w:val="center"/>
            </w:pPr>
            <w:r>
              <w:rPr>
                <w:rFonts w:ascii="宋体" w:hAnsi="宋体" w:eastAsia="宋体"/>
                <w:sz w:val="16"/>
              </w:rPr>
              <w:t>66.30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DE5C7">
            <w:pPr>
              <w:jc w:val="center"/>
            </w:pPr>
            <w:r>
              <w:rPr>
                <w:rFonts w:ascii="宋体" w:hAnsi="宋体" w:eastAsia="宋体"/>
                <w:sz w:val="16"/>
              </w:rPr>
              <w:t>62.34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3B6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3A07B">
            <w:pPr>
              <w:jc w:val="center"/>
            </w:pPr>
            <w:r>
              <w:rPr>
                <w:rFonts w:ascii="宋体" w:hAnsi="宋体" w:eastAsia="宋体"/>
                <w:sz w:val="16"/>
              </w:rPr>
              <w:t>94.03%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595E">
            <w:pPr>
              <w:jc w:val="center"/>
              <w:rPr>
                <w:rFonts w:hint="default" w:eastAsia="宋体"/>
                <w:lang w:val="en-US" w:eastAsia="zh-CN"/>
              </w:rPr>
            </w:pPr>
            <w:r>
              <w:rPr>
                <w:rFonts w:hint="eastAsia" w:ascii="宋体" w:hAnsi="宋体"/>
                <w:sz w:val="16"/>
                <w:lang w:val="en-US" w:eastAsia="zh-CN"/>
              </w:rPr>
              <w:t>9.40</w:t>
            </w:r>
          </w:p>
        </w:tc>
      </w:tr>
      <w:tr w14:paraId="30108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2A1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5B9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5C3E4">
            <w:pPr>
              <w:jc w:val="center"/>
            </w:pPr>
            <w:r>
              <w:rPr>
                <w:rFonts w:ascii="宋体" w:hAnsi="宋体" w:eastAsia="宋体"/>
                <w:sz w:val="16"/>
              </w:rPr>
              <w:t>66.30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C7FF5">
            <w:pPr>
              <w:jc w:val="center"/>
            </w:pPr>
            <w:r>
              <w:rPr>
                <w:rFonts w:ascii="宋体" w:hAnsi="宋体" w:eastAsia="宋体"/>
                <w:sz w:val="16"/>
              </w:rPr>
              <w:t>66.30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9E1DD">
            <w:pPr>
              <w:jc w:val="center"/>
            </w:pPr>
            <w:r>
              <w:rPr>
                <w:rFonts w:ascii="宋体" w:hAnsi="宋体" w:eastAsia="宋体"/>
                <w:sz w:val="16"/>
              </w:rPr>
              <w:t>62.34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7DD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72D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1148">
            <w:pPr>
              <w:jc w:val="center"/>
            </w:pPr>
            <w:r>
              <w:rPr>
                <w:rFonts w:ascii="宋体" w:hAnsi="宋体" w:eastAsia="宋体"/>
                <w:sz w:val="16"/>
              </w:rPr>
              <w:t>—</w:t>
            </w:r>
          </w:p>
        </w:tc>
      </w:tr>
      <w:tr w14:paraId="22CE2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1D8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D4F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234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CB3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8B2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AC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697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39A4">
            <w:pPr>
              <w:jc w:val="center"/>
            </w:pPr>
            <w:r>
              <w:rPr>
                <w:rFonts w:ascii="宋体" w:hAnsi="宋体" w:eastAsia="宋体"/>
                <w:sz w:val="16"/>
              </w:rPr>
              <w:t>—</w:t>
            </w:r>
          </w:p>
        </w:tc>
      </w:tr>
      <w:tr w14:paraId="241211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A9DC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3CD5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CBF4F0">
            <w:pPr>
              <w:jc w:val="center"/>
            </w:pPr>
            <w:r>
              <w:rPr>
                <w:rFonts w:ascii="宋体" w:hAnsi="宋体" w:eastAsia="宋体"/>
                <w:sz w:val="16"/>
              </w:rPr>
              <w:t>实际完成情况</w:t>
            </w:r>
          </w:p>
        </w:tc>
      </w:tr>
      <w:tr w14:paraId="2FAA6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0D3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49B3F">
            <w:pPr>
              <w:jc w:val="both"/>
            </w:pPr>
            <w:r>
              <w:rPr>
                <w:rFonts w:ascii="宋体" w:hAnsi="宋体" w:eastAsia="宋体"/>
                <w:sz w:val="16"/>
              </w:rPr>
              <w:t>根据口岸国投公司《关于支付2023-2024年暖气费的请示》管委会分管领导批示意见内容，通过保障13822.88平方米管委会宿舍楼及17985.40平方米管委会公共区域供暖，确保冬季工作正常开展</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E6C6F3">
            <w:pPr>
              <w:jc w:val="both"/>
            </w:pPr>
            <w:r>
              <w:rPr>
                <w:rFonts w:ascii="宋体" w:hAnsi="宋体" w:eastAsia="宋体"/>
                <w:sz w:val="16"/>
              </w:rPr>
              <w:t>完成保障11804.11平方米管委会宿舍楼及17985.40平方米管委会公共区域供暖，确保冬季工作正常开展。</w:t>
            </w:r>
          </w:p>
        </w:tc>
      </w:tr>
      <w:tr w14:paraId="41C005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95E4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07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29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B08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8D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754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C60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A60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C21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ED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F8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6E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B4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1833">
            <w:pPr>
              <w:jc w:val="center"/>
            </w:pPr>
            <w:r>
              <w:rPr>
                <w:rFonts w:ascii="宋体" w:hAnsi="宋体" w:eastAsia="宋体"/>
                <w:sz w:val="16"/>
              </w:rPr>
              <w:t>偏差原因分析及改进措施</w:t>
            </w:r>
          </w:p>
        </w:tc>
      </w:tr>
      <w:tr w14:paraId="7726A2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F12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D99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B29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B386">
            <w:pPr>
              <w:jc w:val="center"/>
            </w:pPr>
            <w:r>
              <w:rPr>
                <w:rFonts w:ascii="宋体" w:hAnsi="宋体" w:eastAsia="宋体"/>
                <w:sz w:val="16"/>
              </w:rPr>
              <w:t>管委会宿舍楼采暖面积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BA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D814">
            <w:pPr>
              <w:jc w:val="center"/>
            </w:pPr>
            <w:r>
              <w:rPr>
                <w:rFonts w:ascii="宋体" w:hAnsi="宋体" w:eastAsia="宋体"/>
                <w:sz w:val="16"/>
              </w:rPr>
              <w:t>&gt;=13822.88平方米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4359">
            <w:pPr>
              <w:jc w:val="center"/>
            </w:pPr>
            <w:r>
              <w:rPr>
                <w:rFonts w:ascii="宋体" w:hAnsi="宋体" w:eastAsia="宋体"/>
                <w:sz w:val="16"/>
              </w:rPr>
              <w:t>=11804.11平方米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D639">
            <w:pPr>
              <w:jc w:val="center"/>
            </w:pPr>
            <w:r>
              <w:rPr>
                <w:rFonts w:ascii="宋体" w:hAnsi="宋体" w:eastAsia="宋体"/>
                <w:sz w:val="16"/>
              </w:rPr>
              <w:t>85.4%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2984">
            <w:pPr>
              <w:jc w:val="center"/>
            </w:pPr>
            <w:r>
              <w:rPr>
                <w:rFonts w:ascii="宋体" w:hAnsi="宋体" w:eastAsia="宋体"/>
                <w:sz w:val="16"/>
              </w:rPr>
              <w:t>6.35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E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3B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3C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0E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4701">
            <w:pPr>
              <w:jc w:val="center"/>
            </w:pPr>
            <w:r>
              <w:rPr>
                <w:rFonts w:ascii="宋体" w:hAnsi="宋体" w:eastAsia="宋体"/>
                <w:sz w:val="16"/>
              </w:rPr>
              <w:t>偏差原因：因国投公司把单价计算错误，导致资金总额错误，单位未足额支付2023-2024年采暖费。改进措施：确定准确的单价，按时足额完成资金支付。</w:t>
            </w:r>
          </w:p>
        </w:tc>
      </w:tr>
      <w:tr w14:paraId="07AC1B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096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FD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13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C697">
            <w:pPr>
              <w:jc w:val="center"/>
            </w:pPr>
            <w:r>
              <w:rPr>
                <w:rFonts w:ascii="宋体" w:hAnsi="宋体" w:eastAsia="宋体"/>
                <w:sz w:val="16"/>
              </w:rPr>
              <w:t>管委会公共区域采暖面积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CD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A3DA">
            <w:pPr>
              <w:jc w:val="center"/>
            </w:pPr>
            <w:r>
              <w:rPr>
                <w:rFonts w:ascii="宋体" w:hAnsi="宋体" w:eastAsia="宋体"/>
                <w:sz w:val="16"/>
              </w:rPr>
              <w:t>&gt;=17985.40平方米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E2FD">
            <w:pPr>
              <w:jc w:val="center"/>
            </w:pPr>
            <w:r>
              <w:rPr>
                <w:rFonts w:ascii="宋体" w:hAnsi="宋体" w:eastAsia="宋体"/>
                <w:sz w:val="16"/>
              </w:rPr>
              <w:t>=17985.4平方米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5C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B1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A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08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80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9C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B166">
            <w:pPr>
              <w:jc w:val="center"/>
            </w:pPr>
          </w:p>
        </w:tc>
      </w:tr>
      <w:tr w14:paraId="1BFD1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9BA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62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39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D34F">
            <w:pPr>
              <w:jc w:val="center"/>
            </w:pPr>
            <w:r>
              <w:rPr>
                <w:rFonts w:ascii="宋体" w:hAnsi="宋体" w:eastAsia="宋体"/>
                <w:sz w:val="16"/>
              </w:rPr>
              <w:t>室内温度达标率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8F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1E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B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91F6">
            <w:pPr>
              <w:jc w:val="center"/>
            </w:pPr>
            <w:r>
              <w:rPr>
                <w:rFonts w:ascii="宋体" w:hAnsi="宋体" w:eastAsia="宋体"/>
                <w:sz w:val="16"/>
              </w:rPr>
              <w:t>93.65%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BDF5">
            <w:pPr>
              <w:jc w:val="center"/>
            </w:pPr>
            <w:r>
              <w:rPr>
                <w:rFonts w:ascii="宋体" w:hAnsi="宋体" w:eastAsia="宋体"/>
                <w:sz w:val="16"/>
              </w:rPr>
              <w:t>8.41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3B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5B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75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B93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2101">
            <w:pPr>
              <w:jc w:val="center"/>
            </w:pPr>
            <w:r>
              <w:rPr>
                <w:rFonts w:ascii="宋体" w:hAnsi="宋体" w:eastAsia="宋体"/>
                <w:sz w:val="16"/>
              </w:rPr>
              <w:t>偏差原因：国投公司把单价计算错误，导致供暖面积不够，室内温度达标率不够。改进措施：确定准确的单价，按时足额完成资金支付。</w:t>
            </w:r>
          </w:p>
        </w:tc>
      </w:tr>
      <w:tr w14:paraId="50E0B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42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59C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44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86A4">
            <w:pPr>
              <w:jc w:val="center"/>
            </w:pPr>
            <w:r>
              <w:rPr>
                <w:rFonts w:ascii="宋体" w:hAnsi="宋体" w:eastAsia="宋体"/>
                <w:sz w:val="16"/>
              </w:rPr>
              <w:t>采暖费支付完成时间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4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19A6">
            <w:pPr>
              <w:jc w:val="center"/>
            </w:pPr>
            <w:r>
              <w:rPr>
                <w:rFonts w:ascii="宋体" w:hAnsi="宋体" w:eastAsia="宋体"/>
                <w:sz w:val="16"/>
              </w:rPr>
              <w:t>&lt;=12月20日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C44F">
            <w:pPr>
              <w:jc w:val="center"/>
            </w:pPr>
            <w:r>
              <w:rPr>
                <w:rFonts w:ascii="宋体" w:hAnsi="宋体" w:eastAsia="宋体"/>
                <w:sz w:val="16"/>
              </w:rPr>
              <w:t>=12月14日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FA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54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2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33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E1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5D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2C53">
            <w:pPr>
              <w:jc w:val="center"/>
            </w:pPr>
          </w:p>
        </w:tc>
      </w:tr>
      <w:tr w14:paraId="003F9E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89F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364A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B0C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F0F9">
            <w:pPr>
              <w:jc w:val="center"/>
            </w:pPr>
            <w:r>
              <w:rPr>
                <w:rFonts w:ascii="宋体" w:hAnsi="宋体" w:eastAsia="宋体"/>
                <w:sz w:val="16"/>
              </w:rPr>
              <w:t>管委会宿舍楼采暖供热每平</w:t>
            </w:r>
            <w:r>
              <w:rPr>
                <w:rFonts w:hint="eastAsia" w:ascii="宋体" w:hAnsi="宋体"/>
                <w:sz w:val="16"/>
                <w:lang w:eastAsia="zh-CN"/>
              </w:rPr>
              <w:t>方米</w:t>
            </w:r>
            <w:r>
              <w:rPr>
                <w:rFonts w:ascii="宋体" w:hAnsi="宋体" w:eastAsia="宋体"/>
                <w:sz w:val="16"/>
              </w:rPr>
              <w:t>价格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49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6AA4">
            <w:pPr>
              <w:jc w:val="center"/>
            </w:pPr>
            <w:r>
              <w:rPr>
                <w:rFonts w:ascii="宋体" w:hAnsi="宋体" w:eastAsia="宋体"/>
                <w:sz w:val="16"/>
              </w:rPr>
              <w:t>&lt;=19.59元/平方米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9B2B">
            <w:pPr>
              <w:jc w:val="center"/>
            </w:pPr>
            <w:r>
              <w:rPr>
                <w:rFonts w:ascii="宋体" w:hAnsi="宋体" w:eastAsia="宋体"/>
                <w:sz w:val="16"/>
              </w:rPr>
              <w:t>=19.6元/平方米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C693">
            <w:pPr>
              <w:jc w:val="center"/>
            </w:pPr>
            <w:r>
              <w:rPr>
                <w:rFonts w:ascii="宋体" w:hAnsi="宋体" w:eastAsia="宋体"/>
                <w:sz w:val="16"/>
              </w:rPr>
              <w:t>85.44%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C1FA">
            <w:pPr>
              <w:jc w:val="center"/>
            </w:pPr>
            <w:r>
              <w:rPr>
                <w:rFonts w:ascii="宋体" w:hAnsi="宋体" w:eastAsia="宋体"/>
                <w:sz w:val="16"/>
              </w:rPr>
              <w:t>6.36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A5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2F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E01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C0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FFFFE">
            <w:pPr>
              <w:jc w:val="center"/>
            </w:pPr>
            <w:r>
              <w:rPr>
                <w:rFonts w:ascii="宋体" w:hAnsi="宋体" w:eastAsia="宋体"/>
                <w:sz w:val="16"/>
              </w:rPr>
              <w:t>偏差原因：国投公司把单价计算错误，导致资金总额错误，未足额支付。改进措施：确定准确的单价，按时足额完成资金支付。</w:t>
            </w:r>
          </w:p>
        </w:tc>
      </w:tr>
      <w:tr w14:paraId="6BF36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247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6A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C1B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F9C5B">
            <w:pPr>
              <w:jc w:val="center"/>
            </w:pPr>
            <w:r>
              <w:rPr>
                <w:rFonts w:ascii="宋体" w:hAnsi="宋体" w:eastAsia="宋体"/>
                <w:sz w:val="16"/>
              </w:rPr>
              <w:t>管委会公共区域采暖供热每平</w:t>
            </w:r>
            <w:r>
              <w:rPr>
                <w:rFonts w:hint="eastAsia" w:ascii="宋体" w:hAnsi="宋体"/>
                <w:sz w:val="16"/>
                <w:lang w:eastAsia="zh-CN"/>
              </w:rPr>
              <w:t>方米</w:t>
            </w:r>
            <w:r>
              <w:rPr>
                <w:rFonts w:ascii="宋体" w:hAnsi="宋体" w:eastAsia="宋体"/>
                <w:sz w:val="16"/>
              </w:rPr>
              <w:t>价格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67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04B2">
            <w:pPr>
              <w:jc w:val="center"/>
            </w:pPr>
            <w:r>
              <w:rPr>
                <w:rFonts w:ascii="宋体" w:hAnsi="宋体" w:eastAsia="宋体"/>
                <w:sz w:val="16"/>
              </w:rPr>
              <w:t>&lt;=21.80元/平方米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146E">
            <w:pPr>
              <w:jc w:val="center"/>
            </w:pPr>
            <w:r>
              <w:rPr>
                <w:rFonts w:ascii="宋体" w:hAnsi="宋体" w:eastAsia="宋体"/>
                <w:sz w:val="16"/>
              </w:rPr>
              <w:t>=21.8元/平方米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6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A8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1E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0F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A1C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D6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879C">
            <w:pPr>
              <w:jc w:val="center"/>
            </w:pPr>
          </w:p>
        </w:tc>
      </w:tr>
      <w:tr w14:paraId="7E267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DA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E7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01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C0CE">
            <w:pPr>
              <w:jc w:val="center"/>
            </w:pPr>
            <w:r>
              <w:rPr>
                <w:rFonts w:ascii="宋体" w:hAnsi="宋体" w:eastAsia="宋体"/>
                <w:sz w:val="16"/>
              </w:rPr>
              <w:t>保障口岸冬季工作正常运行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EBF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429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A99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3F64">
            <w:pPr>
              <w:jc w:val="center"/>
            </w:pPr>
            <w:r>
              <w:rPr>
                <w:rFonts w:ascii="宋体" w:hAnsi="宋体" w:eastAsia="宋体"/>
                <w:sz w:val="16"/>
              </w:rPr>
              <w:t>93.65%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E16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D2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07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49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571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C47F">
            <w:pPr>
              <w:jc w:val="center"/>
            </w:pPr>
            <w:r>
              <w:rPr>
                <w:rFonts w:ascii="宋体" w:hAnsi="宋体" w:eastAsia="宋体"/>
                <w:sz w:val="16"/>
              </w:rPr>
              <w:t>偏差原因：国投公司把单价计算错误，导致供暖面积不够。改进措施：确定准确的单价，按时足额完成资金支付。</w:t>
            </w:r>
          </w:p>
        </w:tc>
      </w:tr>
      <w:tr w14:paraId="3D0AF1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79E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C8A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FB1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8AFA54">
            <w:pPr>
              <w:jc w:val="center"/>
            </w:pPr>
            <w:r>
              <w:rPr>
                <w:rFonts w:ascii="宋体" w:hAnsi="宋体" w:eastAsia="宋体"/>
                <w:sz w:val="16"/>
              </w:rPr>
              <w:t>89.63分</w:t>
            </w:r>
          </w:p>
        </w:tc>
      </w:tr>
    </w:tbl>
    <w:p w14:paraId="240F0C5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77AFEF37">
        <w:tc>
          <w:tcPr>
            <w:tcW w:w="8848" w:type="dxa"/>
            <w:gridSpan w:val="14"/>
            <w:vAlign w:val="center"/>
          </w:tcPr>
          <w:p w14:paraId="41FFD376">
            <w:pPr>
              <w:jc w:val="center"/>
            </w:pPr>
            <w:r>
              <w:rPr>
                <w:rFonts w:ascii="宋体" w:hAnsi="宋体" w:eastAsia="宋体"/>
                <w:sz w:val="24"/>
              </w:rPr>
              <w:t>项目支出绩效自评表</w:t>
            </w:r>
          </w:p>
        </w:tc>
      </w:tr>
      <w:tr w14:paraId="103C90B8">
        <w:tblPrEx>
          <w:tblCellMar>
            <w:top w:w="0" w:type="dxa"/>
            <w:left w:w="108" w:type="dxa"/>
            <w:bottom w:w="0" w:type="dxa"/>
            <w:right w:w="108" w:type="dxa"/>
          </w:tblCellMar>
        </w:tblPrEx>
        <w:tc>
          <w:tcPr>
            <w:tcW w:w="8848" w:type="dxa"/>
            <w:gridSpan w:val="14"/>
            <w:vAlign w:val="center"/>
          </w:tcPr>
          <w:p w14:paraId="4D5CCC3A">
            <w:pPr>
              <w:jc w:val="center"/>
            </w:pPr>
            <w:r>
              <w:rPr>
                <w:rFonts w:ascii="宋体" w:hAnsi="宋体" w:eastAsia="宋体"/>
                <w:sz w:val="24"/>
              </w:rPr>
              <w:t>(2024年度)</w:t>
            </w:r>
          </w:p>
        </w:tc>
      </w:tr>
      <w:tr w14:paraId="0966C3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DC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1F7D9B">
            <w:pPr>
              <w:jc w:val="center"/>
            </w:pPr>
            <w:r>
              <w:rPr>
                <w:rFonts w:ascii="宋体" w:hAnsi="宋体" w:eastAsia="宋体"/>
                <w:sz w:val="16"/>
              </w:rPr>
              <w:t>2023年免除吊装移位费专项资金</w:t>
            </w:r>
          </w:p>
        </w:tc>
      </w:tr>
      <w:tr w14:paraId="1F64CA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49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A567ED">
            <w:pPr>
              <w:jc w:val="center"/>
            </w:pPr>
            <w:r>
              <w:rPr>
                <w:rFonts w:ascii="宋体" w:hAnsi="宋体" w:eastAsia="宋体"/>
                <w:sz w:val="16"/>
              </w:rPr>
              <w:t>伊犁哈萨克自治州都拉塔口岸管委会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1E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C5E10D">
            <w:pPr>
              <w:jc w:val="center"/>
            </w:pPr>
            <w:r>
              <w:rPr>
                <w:rFonts w:ascii="宋体" w:hAnsi="宋体" w:eastAsia="宋体"/>
                <w:sz w:val="16"/>
              </w:rPr>
              <w:t>伊犁哈萨克自治州都拉塔口岸管委会</w:t>
            </w:r>
          </w:p>
        </w:tc>
      </w:tr>
      <w:tr w14:paraId="326433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66DA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93E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B2D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C08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5B5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B2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66E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7A6E">
            <w:pPr>
              <w:jc w:val="center"/>
            </w:pPr>
            <w:r>
              <w:rPr>
                <w:rFonts w:ascii="宋体" w:hAnsi="宋体" w:eastAsia="宋体"/>
                <w:sz w:val="16"/>
              </w:rPr>
              <w:t>得分</w:t>
            </w:r>
          </w:p>
        </w:tc>
      </w:tr>
      <w:tr w14:paraId="34FB4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2CA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81C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9867B">
            <w:pPr>
              <w:jc w:val="center"/>
            </w:pPr>
            <w:r>
              <w:rPr>
                <w:rFonts w:ascii="宋体" w:hAnsi="宋体" w:eastAsia="宋体"/>
                <w:sz w:val="16"/>
              </w:rPr>
              <w:t>60.85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2DF45">
            <w:pPr>
              <w:jc w:val="center"/>
            </w:pPr>
            <w:r>
              <w:rPr>
                <w:rFonts w:ascii="宋体" w:hAnsi="宋体" w:eastAsia="宋体"/>
                <w:sz w:val="16"/>
              </w:rPr>
              <w:t>60.85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294F4">
            <w:pPr>
              <w:jc w:val="center"/>
            </w:pPr>
            <w:r>
              <w:rPr>
                <w:rFonts w:ascii="宋体" w:hAnsi="宋体" w:eastAsia="宋体"/>
                <w:sz w:val="16"/>
              </w:rPr>
              <w:t>60.85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5D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722D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A66F">
            <w:pPr>
              <w:jc w:val="center"/>
            </w:pPr>
            <w:r>
              <w:rPr>
                <w:rFonts w:ascii="宋体" w:hAnsi="宋体" w:eastAsia="宋体"/>
                <w:sz w:val="16"/>
              </w:rPr>
              <w:t>10.00</w:t>
            </w:r>
          </w:p>
        </w:tc>
      </w:tr>
      <w:tr w14:paraId="7FDC4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110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F63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AE175">
            <w:pPr>
              <w:jc w:val="center"/>
            </w:pPr>
            <w:r>
              <w:rPr>
                <w:rFonts w:ascii="宋体" w:hAnsi="宋体" w:eastAsia="宋体"/>
                <w:sz w:val="16"/>
              </w:rPr>
              <w:t>60.85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88771">
            <w:pPr>
              <w:jc w:val="center"/>
            </w:pPr>
            <w:r>
              <w:rPr>
                <w:rFonts w:ascii="宋体" w:hAnsi="宋体" w:eastAsia="宋体"/>
                <w:sz w:val="16"/>
              </w:rPr>
              <w:t>60.85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80C7F">
            <w:pPr>
              <w:jc w:val="center"/>
            </w:pPr>
            <w:r>
              <w:rPr>
                <w:rFonts w:ascii="宋体" w:hAnsi="宋体" w:eastAsia="宋体"/>
                <w:sz w:val="16"/>
              </w:rPr>
              <w:t>60.85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CD9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33C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15BF">
            <w:pPr>
              <w:jc w:val="center"/>
            </w:pPr>
            <w:r>
              <w:rPr>
                <w:rFonts w:ascii="宋体" w:hAnsi="宋体" w:eastAsia="宋体"/>
                <w:sz w:val="16"/>
              </w:rPr>
              <w:t>—</w:t>
            </w:r>
          </w:p>
        </w:tc>
      </w:tr>
      <w:tr w14:paraId="02C94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2D4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FEA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436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2DD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E10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4DE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A00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81B8">
            <w:pPr>
              <w:jc w:val="center"/>
            </w:pPr>
            <w:r>
              <w:rPr>
                <w:rFonts w:ascii="宋体" w:hAnsi="宋体" w:eastAsia="宋体"/>
                <w:sz w:val="16"/>
              </w:rPr>
              <w:t>—</w:t>
            </w:r>
          </w:p>
        </w:tc>
      </w:tr>
      <w:tr w14:paraId="25A56D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44A7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B685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91C8DC">
            <w:pPr>
              <w:jc w:val="center"/>
            </w:pPr>
            <w:r>
              <w:rPr>
                <w:rFonts w:ascii="宋体" w:hAnsi="宋体" w:eastAsia="宋体"/>
                <w:sz w:val="16"/>
              </w:rPr>
              <w:t>实际完成情况</w:t>
            </w:r>
          </w:p>
        </w:tc>
      </w:tr>
      <w:tr w14:paraId="25A658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6E8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13057">
            <w:pPr>
              <w:jc w:val="both"/>
            </w:pPr>
            <w:r>
              <w:rPr>
                <w:rFonts w:ascii="宋体" w:hAnsi="宋体" w:eastAsia="宋体"/>
                <w:sz w:val="16"/>
              </w:rPr>
              <w:t>根据《关于下达2023年免除查验没有问题外贸企业吊装移位仓储费用试点资金的通知》（伊州财行〔2023〕31号）、《关于改进口岸工作支持外贸发展的若干意见》（国发〔2015〕16号）文件内容，通过发放11个外贸企业补贴，减轻外贸企业负担，提高外贸企业积极性，促进进出口外贸额稳定增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3DFAB1">
            <w:pPr>
              <w:jc w:val="both"/>
            </w:pPr>
            <w:r>
              <w:rPr>
                <w:rFonts w:ascii="宋体" w:hAnsi="宋体" w:eastAsia="宋体"/>
                <w:sz w:val="16"/>
              </w:rPr>
              <w:t>完成11个外贸企业补贴的发放工作，有效减轻外贸企业负担，提高外贸企业积极性，促进进出口外贸额稳定增长。</w:t>
            </w:r>
          </w:p>
        </w:tc>
      </w:tr>
      <w:tr w14:paraId="6DC979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AEF1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89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8B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4F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C2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3B2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8FB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7A1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FBB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C3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2B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FF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81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02CC">
            <w:pPr>
              <w:jc w:val="center"/>
            </w:pPr>
            <w:r>
              <w:rPr>
                <w:rFonts w:ascii="宋体" w:hAnsi="宋体" w:eastAsia="宋体"/>
                <w:sz w:val="16"/>
              </w:rPr>
              <w:t>偏差原因分析及改进措施</w:t>
            </w:r>
          </w:p>
        </w:tc>
      </w:tr>
      <w:tr w14:paraId="63C843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75F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8AA7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AD3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6AFE">
            <w:pPr>
              <w:jc w:val="center"/>
            </w:pPr>
            <w:r>
              <w:rPr>
                <w:rFonts w:ascii="宋体" w:hAnsi="宋体" w:eastAsia="宋体"/>
                <w:sz w:val="16"/>
              </w:rPr>
              <w:t>保障口岸数量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36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D6C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0CE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A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5A9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5F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D8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35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01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243E">
            <w:pPr>
              <w:jc w:val="center"/>
            </w:pPr>
          </w:p>
        </w:tc>
      </w:tr>
      <w:tr w14:paraId="5D8C1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A1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D2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E37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4451">
            <w:pPr>
              <w:jc w:val="center"/>
            </w:pPr>
            <w:r>
              <w:rPr>
                <w:rFonts w:ascii="宋体" w:hAnsi="宋体" w:eastAsia="宋体"/>
                <w:sz w:val="16"/>
              </w:rPr>
              <w:t>补贴外贸企业个数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C4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26AE">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F460">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2E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0C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5E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084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4B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8F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9E30">
            <w:pPr>
              <w:jc w:val="center"/>
            </w:pPr>
          </w:p>
        </w:tc>
      </w:tr>
      <w:tr w14:paraId="5F867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81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BE4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AC3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1D04">
            <w:pPr>
              <w:jc w:val="center"/>
            </w:pPr>
            <w:r>
              <w:rPr>
                <w:rFonts w:ascii="宋体" w:hAnsi="宋体" w:eastAsia="宋体"/>
                <w:sz w:val="16"/>
              </w:rPr>
              <w:t>按企业实际支出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D3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7A5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274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5E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82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E9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A6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D04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7D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F1C7">
            <w:pPr>
              <w:jc w:val="center"/>
            </w:pPr>
          </w:p>
        </w:tc>
      </w:tr>
      <w:tr w14:paraId="129B0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E3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3E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EE9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0560">
            <w:pPr>
              <w:jc w:val="center"/>
            </w:pPr>
            <w:r>
              <w:rPr>
                <w:rFonts w:ascii="宋体" w:hAnsi="宋体" w:eastAsia="宋体"/>
                <w:sz w:val="16"/>
              </w:rPr>
              <w:t>外贸企业补贴发放准确率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BE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A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90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E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78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C0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54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130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A3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E8AC">
            <w:pPr>
              <w:jc w:val="center"/>
            </w:pPr>
          </w:p>
        </w:tc>
      </w:tr>
      <w:tr w14:paraId="58368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6BB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49E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9F4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0B39">
            <w:pPr>
              <w:jc w:val="center"/>
            </w:pPr>
            <w:r>
              <w:rPr>
                <w:rFonts w:ascii="宋体" w:hAnsi="宋体" w:eastAsia="宋体"/>
                <w:sz w:val="16"/>
              </w:rPr>
              <w:t>按时给外贸企业结算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84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8E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8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7A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81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8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18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F0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B1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8EE0">
            <w:pPr>
              <w:jc w:val="center"/>
            </w:pPr>
          </w:p>
        </w:tc>
      </w:tr>
      <w:tr w14:paraId="6D517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96F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84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E60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131A">
            <w:pPr>
              <w:jc w:val="center"/>
            </w:pPr>
            <w:r>
              <w:rPr>
                <w:rFonts w:ascii="宋体" w:hAnsi="宋体" w:eastAsia="宋体"/>
                <w:sz w:val="16"/>
              </w:rPr>
              <w:t>外贸企业补贴发放完成时间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4B2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D2B5">
            <w:pPr>
              <w:jc w:val="center"/>
            </w:pPr>
            <w:r>
              <w:rPr>
                <w:rFonts w:ascii="宋体" w:hAnsi="宋体" w:eastAsia="宋体"/>
                <w:sz w:val="16"/>
              </w:rPr>
              <w:t>&lt;=2月28日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F18C">
            <w:pPr>
              <w:jc w:val="center"/>
            </w:pPr>
            <w:r>
              <w:rPr>
                <w:rFonts w:ascii="宋体" w:hAnsi="宋体" w:eastAsia="宋体"/>
                <w:sz w:val="16"/>
              </w:rPr>
              <w:t>=2月6日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87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63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A1B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D1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89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DF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9074">
            <w:pPr>
              <w:jc w:val="center"/>
            </w:pPr>
          </w:p>
        </w:tc>
      </w:tr>
      <w:tr w14:paraId="124CB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39E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CAA8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71B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E6F1">
            <w:pPr>
              <w:jc w:val="center"/>
            </w:pPr>
            <w:r>
              <w:rPr>
                <w:rFonts w:ascii="宋体" w:hAnsi="宋体" w:eastAsia="宋体"/>
                <w:sz w:val="16"/>
              </w:rPr>
              <w:t>企业先垫付后返还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D9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DB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86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E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1B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0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1C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C2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5B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765D">
            <w:pPr>
              <w:jc w:val="center"/>
            </w:pPr>
          </w:p>
        </w:tc>
      </w:tr>
      <w:tr w14:paraId="3E6D2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EA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724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54A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BA15">
            <w:pPr>
              <w:jc w:val="center"/>
            </w:pPr>
            <w:r>
              <w:rPr>
                <w:rFonts w:ascii="宋体" w:hAnsi="宋体" w:eastAsia="宋体"/>
                <w:sz w:val="16"/>
              </w:rPr>
              <w:t>外贸企业补贴发放平均费用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2E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0149">
            <w:pPr>
              <w:jc w:val="center"/>
            </w:pPr>
            <w:r>
              <w:rPr>
                <w:rFonts w:ascii="宋体" w:hAnsi="宋体" w:eastAsia="宋体"/>
                <w:sz w:val="16"/>
              </w:rPr>
              <w:t>&lt;=5.53万元/个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8F99">
            <w:pPr>
              <w:jc w:val="center"/>
            </w:pPr>
            <w:r>
              <w:rPr>
                <w:rFonts w:ascii="宋体" w:hAnsi="宋体" w:eastAsia="宋体"/>
                <w:sz w:val="16"/>
              </w:rPr>
              <w:t>=5.53万元/个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3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A9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B7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39B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BD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F6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B832">
            <w:pPr>
              <w:jc w:val="center"/>
            </w:pPr>
          </w:p>
        </w:tc>
      </w:tr>
      <w:tr w14:paraId="6654E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6B9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B76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29C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6BD6">
            <w:pPr>
              <w:jc w:val="center"/>
            </w:pPr>
            <w:r>
              <w:rPr>
                <w:rFonts w:ascii="宋体" w:hAnsi="宋体" w:eastAsia="宋体"/>
                <w:sz w:val="16"/>
              </w:rPr>
              <w:t>减轻企业负担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045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FBE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83A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7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FC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4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64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61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9EC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C5B7">
            <w:pPr>
              <w:jc w:val="center"/>
            </w:pPr>
          </w:p>
        </w:tc>
      </w:tr>
      <w:tr w14:paraId="1D835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D7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FC7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FE0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FD917">
            <w:pPr>
              <w:jc w:val="center"/>
            </w:pPr>
            <w:r>
              <w:rPr>
                <w:rFonts w:ascii="宋体" w:hAnsi="宋体" w:eastAsia="宋体"/>
                <w:sz w:val="16"/>
              </w:rPr>
              <w:t>确保国务院惠企政策落地，让企业真正享受到改革的红利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DE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554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CD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37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33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C9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17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86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DB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FE7B">
            <w:pPr>
              <w:jc w:val="center"/>
            </w:pPr>
          </w:p>
        </w:tc>
      </w:tr>
      <w:tr w14:paraId="6E0F4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D4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19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B71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4E9B">
            <w:pPr>
              <w:jc w:val="center"/>
            </w:pPr>
            <w:r>
              <w:rPr>
                <w:rFonts w:ascii="宋体" w:hAnsi="宋体" w:eastAsia="宋体"/>
                <w:sz w:val="16"/>
              </w:rPr>
              <w:t>优化口岸营商环境，促进跨境贸易便利化水平，促进外贸稳定健康发展。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E4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6220">
            <w:pPr>
              <w:jc w:val="center"/>
            </w:pPr>
            <w:r>
              <w:rPr>
                <w:rFonts w:ascii="宋体" w:hAnsi="宋体" w:eastAsia="宋体"/>
                <w:sz w:val="16"/>
              </w:rPr>
              <w:t>不断优化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4602">
            <w:pPr>
              <w:jc w:val="center"/>
            </w:pPr>
            <w:r>
              <w:rPr>
                <w:rFonts w:ascii="宋体" w:hAnsi="宋体" w:eastAsia="宋体"/>
                <w:sz w:val="16"/>
              </w:rPr>
              <w:t>有效优化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F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18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E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3F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B2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D4A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8FCA">
            <w:pPr>
              <w:jc w:val="center"/>
            </w:pPr>
          </w:p>
        </w:tc>
      </w:tr>
      <w:tr w14:paraId="29F3E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E4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4B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4C7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9ED5">
            <w:pPr>
              <w:jc w:val="center"/>
            </w:pPr>
            <w:r>
              <w:rPr>
                <w:rFonts w:ascii="宋体" w:hAnsi="宋体" w:eastAsia="宋体"/>
                <w:sz w:val="16"/>
              </w:rPr>
              <w:t>优化口岸营商环境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4C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2B4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A29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D3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DB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4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C0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C6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62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83B6">
            <w:pPr>
              <w:jc w:val="center"/>
            </w:pPr>
          </w:p>
        </w:tc>
      </w:tr>
      <w:tr w14:paraId="5C5F4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91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87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00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2F45">
            <w:pPr>
              <w:jc w:val="center"/>
            </w:pPr>
            <w:r>
              <w:rPr>
                <w:rFonts w:ascii="宋体" w:hAnsi="宋体" w:eastAsia="宋体"/>
                <w:sz w:val="16"/>
              </w:rPr>
              <w:t>外贸企业满意度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86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33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15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6F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04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4A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D3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12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27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4EA9">
            <w:pPr>
              <w:jc w:val="center"/>
            </w:pPr>
          </w:p>
        </w:tc>
      </w:tr>
      <w:tr w14:paraId="0F1E5F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3BF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283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EA0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6DCE7F">
            <w:pPr>
              <w:jc w:val="center"/>
            </w:pPr>
            <w:r>
              <w:rPr>
                <w:rFonts w:ascii="宋体" w:hAnsi="宋体" w:eastAsia="宋体"/>
                <w:sz w:val="16"/>
              </w:rPr>
              <w:t>100分</w:t>
            </w:r>
          </w:p>
        </w:tc>
      </w:tr>
    </w:tbl>
    <w:p w14:paraId="2F025001">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606"/>
        <w:gridCol w:w="776"/>
        <w:gridCol w:w="776"/>
        <w:gridCol w:w="776"/>
        <w:gridCol w:w="630"/>
        <w:gridCol w:w="606"/>
        <w:gridCol w:w="606"/>
        <w:gridCol w:w="606"/>
        <w:gridCol w:w="607"/>
        <w:gridCol w:w="631"/>
      </w:tblGrid>
      <w:tr w14:paraId="1B791CA2">
        <w:tblPrEx>
          <w:tblCellMar>
            <w:top w:w="0" w:type="dxa"/>
            <w:left w:w="108" w:type="dxa"/>
            <w:bottom w:w="0" w:type="dxa"/>
            <w:right w:w="108" w:type="dxa"/>
          </w:tblCellMar>
        </w:tblPrEx>
        <w:tc>
          <w:tcPr>
            <w:tcW w:w="8848" w:type="dxa"/>
            <w:gridSpan w:val="14"/>
            <w:vAlign w:val="center"/>
          </w:tcPr>
          <w:p w14:paraId="3964C3C3">
            <w:pPr>
              <w:jc w:val="center"/>
            </w:pPr>
            <w:r>
              <w:rPr>
                <w:rFonts w:ascii="宋体" w:hAnsi="宋体" w:eastAsia="宋体"/>
                <w:sz w:val="24"/>
              </w:rPr>
              <w:t>项目支出绩效自评表</w:t>
            </w:r>
          </w:p>
        </w:tc>
      </w:tr>
      <w:tr w14:paraId="2978ABCF">
        <w:tblPrEx>
          <w:tblCellMar>
            <w:top w:w="0" w:type="dxa"/>
            <w:left w:w="108" w:type="dxa"/>
            <w:bottom w:w="0" w:type="dxa"/>
            <w:right w:w="108" w:type="dxa"/>
          </w:tblCellMar>
        </w:tblPrEx>
        <w:tc>
          <w:tcPr>
            <w:tcW w:w="8848" w:type="dxa"/>
            <w:gridSpan w:val="14"/>
            <w:vAlign w:val="center"/>
          </w:tcPr>
          <w:p w14:paraId="3E42A222">
            <w:pPr>
              <w:jc w:val="center"/>
            </w:pPr>
            <w:r>
              <w:rPr>
                <w:rFonts w:ascii="宋体" w:hAnsi="宋体" w:eastAsia="宋体"/>
                <w:sz w:val="24"/>
              </w:rPr>
              <w:t>(2024年度)</w:t>
            </w:r>
          </w:p>
        </w:tc>
      </w:tr>
      <w:tr w14:paraId="75D873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26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3D3779">
            <w:pPr>
              <w:jc w:val="center"/>
            </w:pPr>
            <w:r>
              <w:rPr>
                <w:rFonts w:ascii="宋体" w:hAnsi="宋体" w:eastAsia="宋体"/>
                <w:sz w:val="16"/>
              </w:rPr>
              <w:t>2024年化解工程欠款支出</w:t>
            </w:r>
          </w:p>
        </w:tc>
      </w:tr>
      <w:tr w14:paraId="39D64B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0A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A09FC3">
            <w:pPr>
              <w:jc w:val="center"/>
            </w:pPr>
            <w:r>
              <w:rPr>
                <w:rFonts w:ascii="宋体" w:hAnsi="宋体" w:eastAsia="宋体"/>
                <w:sz w:val="16"/>
              </w:rPr>
              <w:t>伊犁哈萨克自治州都拉塔口岸管委会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45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184FA1">
            <w:pPr>
              <w:jc w:val="center"/>
            </w:pPr>
            <w:r>
              <w:rPr>
                <w:rFonts w:ascii="宋体" w:hAnsi="宋体" w:eastAsia="宋体"/>
                <w:sz w:val="16"/>
              </w:rPr>
              <w:t>伊犁哈萨克自治州都拉塔口岸管委会</w:t>
            </w:r>
          </w:p>
        </w:tc>
      </w:tr>
      <w:tr w14:paraId="298E52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374B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127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DD6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457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F05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171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811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A8A5">
            <w:pPr>
              <w:jc w:val="center"/>
            </w:pPr>
            <w:r>
              <w:rPr>
                <w:rFonts w:ascii="宋体" w:hAnsi="宋体" w:eastAsia="宋体"/>
                <w:sz w:val="16"/>
              </w:rPr>
              <w:t>得分</w:t>
            </w:r>
          </w:p>
        </w:tc>
      </w:tr>
      <w:tr w14:paraId="4AFEA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0AA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06A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343D3">
            <w:pPr>
              <w:jc w:val="center"/>
            </w:pPr>
            <w:r>
              <w:rPr>
                <w:rFonts w:ascii="宋体" w:hAnsi="宋体" w:eastAsia="宋体"/>
                <w:sz w:val="16"/>
              </w:rPr>
              <w:t>283.20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61E4F">
            <w:pPr>
              <w:jc w:val="center"/>
            </w:pPr>
            <w:r>
              <w:rPr>
                <w:rFonts w:ascii="宋体" w:hAnsi="宋体" w:eastAsia="宋体"/>
                <w:sz w:val="16"/>
              </w:rPr>
              <w:t>283.20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5FFD5">
            <w:pPr>
              <w:jc w:val="center"/>
            </w:pPr>
            <w:r>
              <w:rPr>
                <w:rFonts w:ascii="宋体" w:hAnsi="宋体" w:eastAsia="宋体"/>
                <w:sz w:val="16"/>
              </w:rPr>
              <w:t>283.10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12B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6A2FC">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A7AC">
            <w:pPr>
              <w:jc w:val="center"/>
            </w:pPr>
            <w:r>
              <w:rPr>
                <w:rFonts w:ascii="宋体" w:hAnsi="宋体" w:eastAsia="宋体"/>
                <w:sz w:val="16"/>
              </w:rPr>
              <w:t>10.00</w:t>
            </w:r>
          </w:p>
        </w:tc>
      </w:tr>
      <w:tr w14:paraId="24B46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850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013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DD209">
            <w:pPr>
              <w:jc w:val="center"/>
            </w:pPr>
            <w:r>
              <w:rPr>
                <w:rFonts w:ascii="宋体" w:hAnsi="宋体" w:eastAsia="宋体"/>
                <w:sz w:val="16"/>
              </w:rPr>
              <w:t>283.20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EE868">
            <w:pPr>
              <w:jc w:val="center"/>
            </w:pPr>
            <w:r>
              <w:rPr>
                <w:rFonts w:ascii="宋体" w:hAnsi="宋体" w:eastAsia="宋体"/>
                <w:sz w:val="16"/>
              </w:rPr>
              <w:t>283.20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90EFA">
            <w:pPr>
              <w:jc w:val="center"/>
            </w:pPr>
            <w:r>
              <w:rPr>
                <w:rFonts w:ascii="宋体" w:hAnsi="宋体" w:eastAsia="宋体"/>
                <w:sz w:val="16"/>
              </w:rPr>
              <w:t>283.10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036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C7A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B3F2">
            <w:pPr>
              <w:jc w:val="center"/>
            </w:pPr>
            <w:r>
              <w:rPr>
                <w:rFonts w:ascii="宋体" w:hAnsi="宋体" w:eastAsia="宋体"/>
                <w:sz w:val="16"/>
              </w:rPr>
              <w:t>—</w:t>
            </w:r>
          </w:p>
        </w:tc>
      </w:tr>
      <w:tr w14:paraId="1340F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F6D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A44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A26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5E5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3D0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60D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5F3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4934">
            <w:pPr>
              <w:jc w:val="center"/>
            </w:pPr>
            <w:r>
              <w:rPr>
                <w:rFonts w:ascii="宋体" w:hAnsi="宋体" w:eastAsia="宋体"/>
                <w:sz w:val="16"/>
              </w:rPr>
              <w:t>—</w:t>
            </w:r>
          </w:p>
        </w:tc>
      </w:tr>
      <w:tr w14:paraId="2CC93F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7C78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1484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F950E4">
            <w:pPr>
              <w:jc w:val="center"/>
            </w:pPr>
            <w:r>
              <w:rPr>
                <w:rFonts w:ascii="宋体" w:hAnsi="宋体" w:eastAsia="宋体"/>
                <w:sz w:val="16"/>
              </w:rPr>
              <w:t>实际完成情况</w:t>
            </w:r>
          </w:p>
        </w:tc>
      </w:tr>
      <w:tr w14:paraId="04A8A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7B8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EE01B">
            <w:pPr>
              <w:jc w:val="both"/>
            </w:pPr>
            <w:r>
              <w:rPr>
                <w:rFonts w:ascii="宋体" w:hAnsi="宋体" w:eastAsia="宋体"/>
                <w:sz w:val="16"/>
              </w:rPr>
              <w:t>根据《自治州人民政府关于落实&lt;政府工作报告&gt;重点工作责任分工的通知》（伊州政发〔2024〕4号）内容，通过支付道路景观改造项目工程尾款2笔，有效改善口岸营商环境，促进招</w:t>
            </w:r>
            <w:r>
              <w:rPr>
                <w:rFonts w:hint="eastAsia" w:ascii="宋体" w:hAnsi="宋体"/>
                <w:sz w:val="16"/>
                <w:lang w:eastAsia="zh-CN"/>
              </w:rPr>
              <w:t>商引资</w:t>
            </w:r>
            <w:r>
              <w:rPr>
                <w:rFonts w:ascii="宋体" w:hAnsi="宋体" w:eastAsia="宋体"/>
                <w:sz w:val="16"/>
              </w:rPr>
              <w:t>项目落地，深入实施“旅游兴州”战略，加快旅游业的提档升级。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FE0F23">
            <w:pPr>
              <w:jc w:val="both"/>
            </w:pPr>
            <w:r>
              <w:rPr>
                <w:rFonts w:ascii="宋体" w:hAnsi="宋体" w:eastAsia="宋体"/>
                <w:sz w:val="16"/>
              </w:rPr>
              <w:t>完成</w:t>
            </w:r>
            <w:bookmarkStart w:id="0" w:name="_GoBack"/>
            <w:bookmarkEnd w:id="0"/>
            <w:r>
              <w:rPr>
                <w:rFonts w:ascii="宋体" w:hAnsi="宋体" w:eastAsia="宋体"/>
                <w:sz w:val="16"/>
              </w:rPr>
              <w:t>支付道路景观改造项目工程尾款2笔，有效改善口岸营商环境，促进招</w:t>
            </w:r>
            <w:r>
              <w:rPr>
                <w:rFonts w:hint="eastAsia" w:ascii="宋体" w:hAnsi="宋体"/>
                <w:sz w:val="16"/>
                <w:lang w:eastAsia="zh-CN"/>
              </w:rPr>
              <w:t>商引资</w:t>
            </w:r>
            <w:r>
              <w:rPr>
                <w:rFonts w:ascii="宋体" w:hAnsi="宋体" w:eastAsia="宋体"/>
                <w:sz w:val="16"/>
              </w:rPr>
              <w:t>项目落地，深入实施“旅游兴州”战略，加快旅游业的提档升级。</w:t>
            </w:r>
          </w:p>
        </w:tc>
      </w:tr>
      <w:tr w14:paraId="57F410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F33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C6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8F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2D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4B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12E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29C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D7A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43B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6D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C8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64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38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C0EE">
            <w:pPr>
              <w:jc w:val="center"/>
            </w:pPr>
            <w:r>
              <w:rPr>
                <w:rFonts w:ascii="宋体" w:hAnsi="宋体" w:eastAsia="宋体"/>
                <w:sz w:val="16"/>
              </w:rPr>
              <w:t>偏差原因分析及改进措施</w:t>
            </w:r>
          </w:p>
        </w:tc>
      </w:tr>
      <w:tr w14:paraId="38B66A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B7C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E41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45D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73D7">
            <w:pPr>
              <w:jc w:val="center"/>
            </w:pPr>
            <w:r>
              <w:rPr>
                <w:rFonts w:ascii="宋体" w:hAnsi="宋体" w:eastAsia="宋体"/>
                <w:sz w:val="16"/>
              </w:rPr>
              <w:t>改造道路景观工程欠款数量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FC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837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614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3E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57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BB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8A9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3B8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8F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A0BD">
            <w:pPr>
              <w:jc w:val="center"/>
            </w:pPr>
          </w:p>
        </w:tc>
      </w:tr>
      <w:tr w14:paraId="6F45F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CB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EE8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1F1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4EF9">
            <w:pPr>
              <w:jc w:val="center"/>
            </w:pPr>
            <w:r>
              <w:rPr>
                <w:rFonts w:ascii="宋体" w:hAnsi="宋体" w:eastAsia="宋体"/>
                <w:sz w:val="16"/>
              </w:rPr>
              <w:t>支付改造道路景观项目欠款笔数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67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EFA2">
            <w:pPr>
              <w:jc w:val="center"/>
            </w:pPr>
            <w:r>
              <w:rPr>
                <w:rFonts w:ascii="宋体" w:hAnsi="宋体" w:eastAsia="宋体"/>
                <w:sz w:val="16"/>
              </w:rPr>
              <w:t>&gt;=2笔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437E">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F5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06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D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4B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AB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88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56AF">
            <w:pPr>
              <w:jc w:val="center"/>
            </w:pPr>
          </w:p>
        </w:tc>
      </w:tr>
      <w:tr w14:paraId="7E496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3B6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856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36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B26B5">
            <w:pPr>
              <w:jc w:val="center"/>
            </w:pPr>
            <w:r>
              <w:rPr>
                <w:rFonts w:ascii="宋体" w:hAnsi="宋体" w:eastAsia="宋体"/>
                <w:sz w:val="16"/>
              </w:rPr>
              <w:t>改造道路景观项目欠款支付准确率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80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BB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56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8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C8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D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3D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A3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F9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1CB2">
            <w:pPr>
              <w:jc w:val="center"/>
            </w:pPr>
          </w:p>
        </w:tc>
      </w:tr>
      <w:tr w14:paraId="181EC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A5F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E68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F1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1EB54">
            <w:pPr>
              <w:jc w:val="center"/>
            </w:pPr>
            <w:r>
              <w:rPr>
                <w:rFonts w:ascii="宋体" w:hAnsi="宋体" w:eastAsia="宋体"/>
                <w:sz w:val="16"/>
              </w:rPr>
              <w:t>改造道路景观项目欠款支付完成时间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963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D948">
            <w:pPr>
              <w:jc w:val="center"/>
            </w:pPr>
            <w:r>
              <w:rPr>
                <w:rFonts w:ascii="宋体" w:hAnsi="宋体" w:eastAsia="宋体"/>
                <w:sz w:val="16"/>
              </w:rPr>
              <w:t>&lt;=12月20日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965C">
            <w:pPr>
              <w:jc w:val="center"/>
            </w:pPr>
            <w:r>
              <w:rPr>
                <w:rFonts w:ascii="宋体" w:hAnsi="宋体" w:eastAsia="宋体"/>
                <w:sz w:val="16"/>
              </w:rPr>
              <w:t>=11月28日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A3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0E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EA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0D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327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AE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E368">
            <w:pPr>
              <w:jc w:val="center"/>
            </w:pPr>
          </w:p>
        </w:tc>
      </w:tr>
      <w:tr w14:paraId="7373D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D2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DD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DD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26D0">
            <w:pPr>
              <w:jc w:val="center"/>
            </w:pPr>
            <w:r>
              <w:rPr>
                <w:rFonts w:ascii="宋体" w:hAnsi="宋体" w:eastAsia="宋体"/>
                <w:sz w:val="16"/>
              </w:rPr>
              <w:t>改造道路景观项目欠款支付费用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B4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B2B5">
            <w:pPr>
              <w:jc w:val="center"/>
            </w:pPr>
            <w:r>
              <w:rPr>
                <w:rFonts w:ascii="宋体" w:hAnsi="宋体" w:eastAsia="宋体"/>
                <w:sz w:val="16"/>
              </w:rPr>
              <w:t>&lt;=141.6万元/笔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9AB4">
            <w:pPr>
              <w:jc w:val="center"/>
            </w:pPr>
            <w:r>
              <w:rPr>
                <w:rFonts w:ascii="宋体" w:hAnsi="宋体" w:eastAsia="宋体"/>
                <w:sz w:val="16"/>
              </w:rPr>
              <w:t>=141.55万元/笔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7684">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E44D">
            <w:pPr>
              <w:jc w:val="center"/>
            </w:pPr>
            <w:r>
              <w:rPr>
                <w:rFonts w:ascii="宋体" w:hAnsi="宋体" w:eastAsia="宋体"/>
                <w:sz w:val="16"/>
              </w:rPr>
              <w:t>19.98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B9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CD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96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94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DABA7">
            <w:pPr>
              <w:jc w:val="center"/>
            </w:pPr>
            <w:r>
              <w:rPr>
                <w:rFonts w:ascii="宋体" w:hAnsi="宋体" w:eastAsia="宋体"/>
                <w:sz w:val="16"/>
              </w:rPr>
              <w:t>偏差原因：按照平台债务化解预算编制要求，按照</w:t>
            </w:r>
            <w:r>
              <w:rPr>
                <w:rFonts w:hint="eastAsia" w:ascii="宋体" w:hAnsi="宋体"/>
                <w:sz w:val="16"/>
                <w:lang w:eastAsia="zh-CN"/>
              </w:rPr>
              <w:t>进一步</w:t>
            </w:r>
            <w:r>
              <w:rPr>
                <w:rFonts w:ascii="宋体" w:hAnsi="宋体" w:eastAsia="宋体"/>
                <w:sz w:val="16"/>
              </w:rPr>
              <w:t>编制预算，故产生偏差。改进措施：下年度精准测算，精确设置预算，完成资金支付。</w:t>
            </w:r>
          </w:p>
        </w:tc>
      </w:tr>
      <w:tr w14:paraId="7F5569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08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AF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59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EEFE">
            <w:pPr>
              <w:jc w:val="center"/>
            </w:pPr>
            <w:r>
              <w:rPr>
                <w:rFonts w:ascii="宋体" w:hAnsi="宋体" w:eastAsia="宋体"/>
                <w:sz w:val="16"/>
              </w:rPr>
              <w:t>维护政府公信力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70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82D0">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26E5">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1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4B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C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20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2A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A24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8471">
            <w:pPr>
              <w:jc w:val="center"/>
            </w:pPr>
          </w:p>
        </w:tc>
      </w:tr>
      <w:tr w14:paraId="15782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6C0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A4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CC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5ED5">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CD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7F4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95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9C92">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12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AF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62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BC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E2A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ADA8">
            <w:pPr>
              <w:jc w:val="center"/>
            </w:pPr>
            <w:r>
              <w:rPr>
                <w:rFonts w:ascii="宋体" w:hAnsi="宋体" w:eastAsia="宋体"/>
                <w:sz w:val="16"/>
              </w:rPr>
              <w:t>偏差原因：及时支付施工方欠款，施工方满意度较预期高。改进措施：持续做好工程款支付工作，从严从高设置指标值。</w:t>
            </w:r>
          </w:p>
        </w:tc>
      </w:tr>
      <w:tr w14:paraId="37B3C3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907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CE9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8D4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16938C">
            <w:pPr>
              <w:jc w:val="center"/>
            </w:pPr>
            <w:r>
              <w:rPr>
                <w:rFonts w:ascii="宋体" w:hAnsi="宋体" w:eastAsia="宋体"/>
                <w:sz w:val="16"/>
              </w:rPr>
              <w:t>99.98分</w:t>
            </w:r>
          </w:p>
        </w:tc>
      </w:tr>
    </w:tbl>
    <w:p w14:paraId="143947E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2008FF6">
        <w:tblPrEx>
          <w:tblCellMar>
            <w:top w:w="0" w:type="dxa"/>
            <w:left w:w="108" w:type="dxa"/>
            <w:bottom w:w="0" w:type="dxa"/>
            <w:right w:w="108" w:type="dxa"/>
          </w:tblCellMar>
        </w:tblPrEx>
        <w:tc>
          <w:tcPr>
            <w:tcW w:w="8848" w:type="dxa"/>
            <w:gridSpan w:val="14"/>
            <w:vAlign w:val="center"/>
          </w:tcPr>
          <w:p w14:paraId="3F98214E">
            <w:pPr>
              <w:jc w:val="center"/>
            </w:pPr>
            <w:r>
              <w:rPr>
                <w:rFonts w:ascii="宋体" w:hAnsi="宋体" w:eastAsia="宋体"/>
                <w:sz w:val="24"/>
              </w:rPr>
              <w:t>项目支出绩效自评表</w:t>
            </w:r>
          </w:p>
        </w:tc>
      </w:tr>
      <w:tr w14:paraId="72BDAA5F">
        <w:tblPrEx>
          <w:tblCellMar>
            <w:top w:w="0" w:type="dxa"/>
            <w:left w:w="108" w:type="dxa"/>
            <w:bottom w:w="0" w:type="dxa"/>
            <w:right w:w="108" w:type="dxa"/>
          </w:tblCellMar>
        </w:tblPrEx>
        <w:tc>
          <w:tcPr>
            <w:tcW w:w="8848" w:type="dxa"/>
            <w:gridSpan w:val="14"/>
            <w:vAlign w:val="center"/>
          </w:tcPr>
          <w:p w14:paraId="3659D8E0">
            <w:pPr>
              <w:jc w:val="center"/>
            </w:pPr>
            <w:r>
              <w:rPr>
                <w:rFonts w:ascii="宋体" w:hAnsi="宋体" w:eastAsia="宋体"/>
                <w:sz w:val="24"/>
              </w:rPr>
              <w:t>(2024年度)</w:t>
            </w:r>
          </w:p>
        </w:tc>
      </w:tr>
      <w:tr w14:paraId="6BD628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EB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CF694E">
            <w:pPr>
              <w:jc w:val="center"/>
            </w:pPr>
            <w:r>
              <w:rPr>
                <w:rFonts w:ascii="宋体" w:hAnsi="宋体" w:eastAsia="宋体"/>
                <w:sz w:val="16"/>
              </w:rPr>
              <w:t>2024年自治区外经贸发展专项资金</w:t>
            </w:r>
          </w:p>
        </w:tc>
      </w:tr>
      <w:tr w14:paraId="361780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77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260A4">
            <w:pPr>
              <w:jc w:val="center"/>
            </w:pPr>
            <w:r>
              <w:rPr>
                <w:rFonts w:ascii="宋体" w:hAnsi="宋体" w:eastAsia="宋体"/>
                <w:sz w:val="16"/>
              </w:rPr>
              <w:t>伊犁哈萨克自治州都拉塔口岸管委会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85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FDD975">
            <w:pPr>
              <w:jc w:val="center"/>
            </w:pPr>
            <w:r>
              <w:rPr>
                <w:rFonts w:ascii="宋体" w:hAnsi="宋体" w:eastAsia="宋体"/>
                <w:sz w:val="16"/>
              </w:rPr>
              <w:t>伊犁哈萨克自治州都拉塔口岸管委会</w:t>
            </w:r>
          </w:p>
        </w:tc>
      </w:tr>
      <w:tr w14:paraId="0389C6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784C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BAA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98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5CB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244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A38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DAD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8591">
            <w:pPr>
              <w:jc w:val="center"/>
            </w:pPr>
            <w:r>
              <w:rPr>
                <w:rFonts w:ascii="宋体" w:hAnsi="宋体" w:eastAsia="宋体"/>
                <w:sz w:val="16"/>
              </w:rPr>
              <w:t>得分</w:t>
            </w:r>
          </w:p>
        </w:tc>
      </w:tr>
      <w:tr w14:paraId="0828D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4F3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8EE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959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1D434">
            <w:pPr>
              <w:jc w:val="center"/>
            </w:pPr>
            <w:r>
              <w:rPr>
                <w:rFonts w:ascii="宋体" w:hAnsi="宋体" w:eastAsia="宋体"/>
                <w:sz w:val="16"/>
              </w:rPr>
              <w:t>459.00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97891">
            <w:pPr>
              <w:jc w:val="center"/>
            </w:pPr>
            <w:r>
              <w:rPr>
                <w:rFonts w:ascii="宋体" w:hAnsi="宋体" w:eastAsia="宋体"/>
                <w:sz w:val="16"/>
              </w:rPr>
              <w:t>459.00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AC0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C47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B1CB">
            <w:pPr>
              <w:jc w:val="center"/>
            </w:pPr>
            <w:r>
              <w:rPr>
                <w:rFonts w:ascii="宋体" w:hAnsi="宋体" w:eastAsia="宋体"/>
                <w:sz w:val="16"/>
              </w:rPr>
              <w:t>10.00</w:t>
            </w:r>
          </w:p>
        </w:tc>
      </w:tr>
      <w:tr w14:paraId="78C0B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151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D1F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BEB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3261F">
            <w:pPr>
              <w:jc w:val="center"/>
            </w:pPr>
            <w:r>
              <w:rPr>
                <w:rFonts w:ascii="宋体" w:hAnsi="宋体" w:eastAsia="宋体"/>
                <w:sz w:val="16"/>
              </w:rPr>
              <w:t>459.00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028E7">
            <w:pPr>
              <w:jc w:val="center"/>
            </w:pPr>
            <w:r>
              <w:rPr>
                <w:rFonts w:ascii="宋体" w:hAnsi="宋体" w:eastAsia="宋体"/>
                <w:sz w:val="16"/>
              </w:rPr>
              <w:t>459.00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B57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A64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EF88">
            <w:pPr>
              <w:jc w:val="center"/>
            </w:pPr>
            <w:r>
              <w:rPr>
                <w:rFonts w:ascii="宋体" w:hAnsi="宋体" w:eastAsia="宋体"/>
                <w:sz w:val="16"/>
              </w:rPr>
              <w:t>—</w:t>
            </w:r>
          </w:p>
        </w:tc>
      </w:tr>
      <w:tr w14:paraId="1CEFE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349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6AC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4C8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ADF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657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068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E94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738E">
            <w:pPr>
              <w:jc w:val="center"/>
            </w:pPr>
            <w:r>
              <w:rPr>
                <w:rFonts w:ascii="宋体" w:hAnsi="宋体" w:eastAsia="宋体"/>
                <w:sz w:val="16"/>
              </w:rPr>
              <w:t>—</w:t>
            </w:r>
          </w:p>
        </w:tc>
      </w:tr>
      <w:tr w14:paraId="5EE722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CD2B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5309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8EB39F">
            <w:pPr>
              <w:jc w:val="center"/>
            </w:pPr>
            <w:r>
              <w:rPr>
                <w:rFonts w:ascii="宋体" w:hAnsi="宋体" w:eastAsia="宋体"/>
                <w:sz w:val="16"/>
              </w:rPr>
              <w:t>实际完成情况</w:t>
            </w:r>
          </w:p>
        </w:tc>
      </w:tr>
      <w:tr w14:paraId="4EDAB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321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42D2AA">
            <w:pPr>
              <w:jc w:val="both"/>
            </w:pPr>
            <w:r>
              <w:rPr>
                <w:rFonts w:ascii="宋体" w:hAnsi="宋体" w:eastAsia="宋体"/>
                <w:sz w:val="16"/>
              </w:rPr>
              <w:t>根据《关于拨付自治区外经贸发展专项资金的通知》（伊州财建〔2024〕126号）、《关于拨付2024年第二批外经贸发展专项资金的通知》（伊州财建〔2024〕136号）文件要求，通过扶持3家外贸企业发展，促进相关惠企政策落地，减轻外贸企业负担，改善外经贸企业营商环境，实现外贸稳中提质，促进</w:t>
            </w:r>
            <w:r>
              <w:rPr>
                <w:rFonts w:hint="eastAsia" w:ascii="宋体" w:hAnsi="宋体"/>
                <w:sz w:val="16"/>
                <w:lang w:eastAsia="zh-CN"/>
              </w:rPr>
              <w:t>BJ</w:t>
            </w:r>
            <w:r>
              <w:rPr>
                <w:rFonts w:ascii="宋体" w:hAnsi="宋体" w:eastAsia="宋体"/>
                <w:sz w:val="16"/>
              </w:rPr>
              <w:t>贸易创新发展。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5B5B5C">
            <w:pPr>
              <w:jc w:val="both"/>
            </w:pPr>
            <w:r>
              <w:rPr>
                <w:rFonts w:ascii="宋体" w:hAnsi="宋体" w:eastAsia="宋体"/>
                <w:sz w:val="16"/>
              </w:rPr>
              <w:t>完成扶持3家外贸企业发展，有效促进相关惠企政策落地，减轻外贸企业负担，改善外经贸企业营商环境，实现外贸稳中提质，促进</w:t>
            </w:r>
            <w:r>
              <w:rPr>
                <w:rFonts w:hint="eastAsia" w:ascii="宋体" w:hAnsi="宋体"/>
                <w:sz w:val="16"/>
                <w:lang w:eastAsia="zh-CN"/>
              </w:rPr>
              <w:t>BJ</w:t>
            </w:r>
            <w:r>
              <w:rPr>
                <w:rFonts w:ascii="宋体" w:hAnsi="宋体" w:eastAsia="宋体"/>
                <w:sz w:val="16"/>
              </w:rPr>
              <w:t>贸易创新发展。</w:t>
            </w:r>
          </w:p>
        </w:tc>
      </w:tr>
      <w:tr w14:paraId="0D3A40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E9E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28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43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70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A2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F69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0E6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FF1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862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8B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29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74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BA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2D06">
            <w:pPr>
              <w:jc w:val="center"/>
            </w:pPr>
            <w:r>
              <w:rPr>
                <w:rFonts w:ascii="宋体" w:hAnsi="宋体" w:eastAsia="宋体"/>
                <w:sz w:val="16"/>
              </w:rPr>
              <w:t>偏差原因分析及改进措施</w:t>
            </w:r>
          </w:p>
        </w:tc>
      </w:tr>
      <w:tr w14:paraId="543B2E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F0D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C83A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5BD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1835">
            <w:pPr>
              <w:jc w:val="center"/>
            </w:pPr>
            <w:r>
              <w:rPr>
                <w:rFonts w:ascii="宋体" w:hAnsi="宋体" w:eastAsia="宋体"/>
                <w:sz w:val="16"/>
              </w:rPr>
              <w:t>支持培育内外贸一体化经营企业数量（家）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75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0FA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834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7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C87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2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B3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35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F5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A5E1">
            <w:pPr>
              <w:jc w:val="center"/>
            </w:pPr>
          </w:p>
        </w:tc>
      </w:tr>
      <w:tr w14:paraId="4788F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F5E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AE5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6FA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0ECB">
            <w:pPr>
              <w:jc w:val="center"/>
            </w:pPr>
            <w:r>
              <w:rPr>
                <w:rFonts w:ascii="宋体" w:hAnsi="宋体" w:eastAsia="宋体"/>
                <w:sz w:val="16"/>
              </w:rPr>
              <w:t>支持服务贸易企业数量（家）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E5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F49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414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2D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4ED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5C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F5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44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254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341E">
            <w:pPr>
              <w:jc w:val="center"/>
            </w:pPr>
          </w:p>
        </w:tc>
      </w:tr>
      <w:tr w14:paraId="486A6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D2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0BA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92D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BA92">
            <w:pPr>
              <w:jc w:val="center"/>
            </w:pPr>
            <w:r>
              <w:rPr>
                <w:rFonts w:ascii="宋体" w:hAnsi="宋体" w:eastAsia="宋体"/>
                <w:sz w:val="16"/>
              </w:rPr>
              <w:t>开展预警法律服务和实施贸易调整援助支持企业数量（家）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8E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A2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133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369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DD5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18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06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ED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1D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1D92">
            <w:pPr>
              <w:jc w:val="center"/>
            </w:pPr>
          </w:p>
        </w:tc>
      </w:tr>
      <w:tr w14:paraId="68FD9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604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82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E3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3F76">
            <w:pPr>
              <w:jc w:val="center"/>
            </w:pPr>
            <w:r>
              <w:rPr>
                <w:rFonts w:ascii="宋体" w:hAnsi="宋体" w:eastAsia="宋体"/>
                <w:sz w:val="16"/>
              </w:rPr>
              <w:t>支持重点外向型企业数量（家）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91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16B8">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945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5A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6D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C7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2B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A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6C0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4846">
            <w:pPr>
              <w:jc w:val="center"/>
            </w:pPr>
          </w:p>
        </w:tc>
      </w:tr>
      <w:tr w14:paraId="29C6A0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DD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29B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1CE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D98E">
            <w:pPr>
              <w:jc w:val="center"/>
            </w:pPr>
            <w:r>
              <w:rPr>
                <w:rFonts w:ascii="宋体" w:hAnsi="宋体" w:eastAsia="宋体"/>
                <w:sz w:val="16"/>
              </w:rPr>
              <w:t>外贸企业补贴发放准确率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94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0C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4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38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D9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A4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F1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45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821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F3ED">
            <w:pPr>
              <w:jc w:val="center"/>
            </w:pPr>
          </w:p>
        </w:tc>
      </w:tr>
      <w:tr w14:paraId="6D3E8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1FB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93C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3E5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4180">
            <w:pPr>
              <w:jc w:val="center"/>
            </w:pPr>
            <w:r>
              <w:rPr>
                <w:rFonts w:ascii="宋体" w:hAnsi="宋体" w:eastAsia="宋体"/>
                <w:sz w:val="16"/>
              </w:rPr>
              <w:t>预算资金执行率（%）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D4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7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30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C1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3B1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3C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95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A7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12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AB51">
            <w:pPr>
              <w:jc w:val="center"/>
            </w:pPr>
          </w:p>
        </w:tc>
      </w:tr>
      <w:tr w14:paraId="1D178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4E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E9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ADB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B6700">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3C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F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2C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72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75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EA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52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3C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C6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83E7">
            <w:pPr>
              <w:jc w:val="center"/>
            </w:pPr>
          </w:p>
        </w:tc>
      </w:tr>
      <w:tr w14:paraId="6B97CB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880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E4F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5A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C65A">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B1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66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E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E4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DD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B0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D8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04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5B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BC7C">
            <w:pPr>
              <w:jc w:val="center"/>
            </w:pPr>
          </w:p>
        </w:tc>
      </w:tr>
      <w:tr w14:paraId="0DC1F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4FE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82B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96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D6B9">
            <w:pPr>
              <w:jc w:val="center"/>
            </w:pPr>
            <w:r>
              <w:rPr>
                <w:rFonts w:ascii="宋体" w:hAnsi="宋体" w:eastAsia="宋体"/>
                <w:sz w:val="16"/>
              </w:rPr>
              <w:t>外贸企业发放补贴金额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45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71D1">
            <w:pPr>
              <w:jc w:val="center"/>
            </w:pPr>
            <w:r>
              <w:rPr>
                <w:rFonts w:ascii="宋体" w:hAnsi="宋体" w:eastAsia="宋体"/>
                <w:sz w:val="16"/>
              </w:rPr>
              <w:t>&lt;=153万元/家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26D4">
            <w:pPr>
              <w:jc w:val="center"/>
            </w:pPr>
            <w:r>
              <w:rPr>
                <w:rFonts w:ascii="宋体" w:hAnsi="宋体" w:eastAsia="宋体"/>
                <w:sz w:val="16"/>
              </w:rPr>
              <w:t>=153万元/家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3A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25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DC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4C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10D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5A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033E">
            <w:pPr>
              <w:jc w:val="center"/>
            </w:pPr>
          </w:p>
        </w:tc>
      </w:tr>
      <w:tr w14:paraId="789B9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05E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F867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1B16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CF80E">
            <w:pPr>
              <w:jc w:val="center"/>
            </w:pPr>
            <w:r>
              <w:rPr>
                <w:rFonts w:ascii="宋体" w:hAnsi="宋体" w:eastAsia="宋体"/>
                <w:sz w:val="16"/>
              </w:rPr>
              <w:t>获得支持的加工贸易企业进出口增速（%）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F8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84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95A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77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171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5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84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46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67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4B87">
            <w:pPr>
              <w:jc w:val="center"/>
            </w:pPr>
          </w:p>
        </w:tc>
      </w:tr>
      <w:tr w14:paraId="2C7D0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94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DF9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9E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6A7C">
            <w:pPr>
              <w:jc w:val="center"/>
            </w:pPr>
            <w:r>
              <w:rPr>
                <w:rFonts w:ascii="宋体" w:hAnsi="宋体" w:eastAsia="宋体"/>
                <w:sz w:val="16"/>
              </w:rPr>
              <w:t>全年</w:t>
            </w:r>
            <w:r>
              <w:rPr>
                <w:rFonts w:hint="eastAsia" w:ascii="宋体" w:hAnsi="宋体"/>
                <w:sz w:val="16"/>
                <w:lang w:eastAsia="zh-CN"/>
              </w:rPr>
              <w:t>BJ</w:t>
            </w:r>
            <w:r>
              <w:rPr>
                <w:rFonts w:ascii="宋体" w:hAnsi="宋体" w:eastAsia="宋体"/>
                <w:sz w:val="16"/>
              </w:rPr>
              <w:t>小额贸易增速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303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2C2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14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0E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A3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30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FA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CB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86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6126">
            <w:pPr>
              <w:jc w:val="center"/>
            </w:pPr>
          </w:p>
        </w:tc>
      </w:tr>
      <w:tr w14:paraId="737BB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750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A78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8CE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AFFB">
            <w:pPr>
              <w:jc w:val="center"/>
            </w:pPr>
            <w:r>
              <w:rPr>
                <w:rFonts w:ascii="宋体" w:hAnsi="宋体" w:eastAsia="宋体"/>
                <w:sz w:val="16"/>
              </w:rPr>
              <w:t>获得支持外向型企业进出口增长率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05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1A9B">
            <w:pPr>
              <w:jc w:val="center"/>
            </w:pPr>
            <w:r>
              <w:rPr>
                <w:rFonts w:ascii="宋体" w:hAnsi="宋体" w:eastAsia="宋体"/>
                <w:sz w:val="16"/>
              </w:rPr>
              <w:t>&gt;=20%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C4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9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F9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01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57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0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6D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D0C7">
            <w:pPr>
              <w:jc w:val="center"/>
            </w:pPr>
          </w:p>
        </w:tc>
      </w:tr>
      <w:tr w14:paraId="4B81F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481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DF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BD0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4928">
            <w:pPr>
              <w:jc w:val="center"/>
            </w:pPr>
            <w:r>
              <w:rPr>
                <w:rFonts w:ascii="宋体" w:hAnsi="宋体" w:eastAsia="宋体"/>
                <w:sz w:val="16"/>
              </w:rPr>
              <w:t>9-12月进出口额平均增速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67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29C7">
            <w:pPr>
              <w:jc w:val="center"/>
            </w:pPr>
            <w:r>
              <w:rPr>
                <w:rFonts w:ascii="宋体" w:hAnsi="宋体" w:eastAsia="宋体"/>
                <w:sz w:val="16"/>
              </w:rPr>
              <w:t>&gt;=20%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9E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5C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30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E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9D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6D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5E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F9DD">
            <w:pPr>
              <w:jc w:val="center"/>
            </w:pPr>
          </w:p>
        </w:tc>
      </w:tr>
      <w:tr w14:paraId="0CCD7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EA9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A44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6EF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003B">
            <w:pPr>
              <w:jc w:val="center"/>
            </w:pPr>
            <w:r>
              <w:rPr>
                <w:rFonts w:ascii="宋体" w:hAnsi="宋体" w:eastAsia="宋体"/>
                <w:sz w:val="16"/>
              </w:rPr>
              <w:t>获得支持的</w:t>
            </w:r>
            <w:r>
              <w:rPr>
                <w:rFonts w:hint="eastAsia" w:ascii="宋体" w:hAnsi="宋体"/>
                <w:sz w:val="16"/>
                <w:lang w:eastAsia="zh-CN"/>
              </w:rPr>
              <w:t>BJ</w:t>
            </w:r>
            <w:r>
              <w:rPr>
                <w:rFonts w:ascii="宋体" w:hAnsi="宋体" w:eastAsia="宋体"/>
                <w:sz w:val="16"/>
              </w:rPr>
              <w:t>贸易企业进出口增速（%）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64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8069">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18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1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7C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2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A4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49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B9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565B">
            <w:pPr>
              <w:jc w:val="center"/>
            </w:pPr>
          </w:p>
        </w:tc>
      </w:tr>
      <w:tr w14:paraId="7864A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F4E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F4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C3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5152">
            <w:pPr>
              <w:jc w:val="center"/>
            </w:pPr>
            <w:r>
              <w:rPr>
                <w:rFonts w:ascii="宋体" w:hAnsi="宋体" w:eastAsia="宋体"/>
                <w:sz w:val="16"/>
              </w:rPr>
              <w:t>外经贸企业营商环境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D7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0B5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B45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B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A1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6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75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13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E49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93ED">
            <w:pPr>
              <w:jc w:val="center"/>
            </w:pPr>
          </w:p>
        </w:tc>
      </w:tr>
      <w:tr w14:paraId="1BB8D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B4C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480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D0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95258">
            <w:pPr>
              <w:jc w:val="center"/>
            </w:pPr>
            <w:r>
              <w:rPr>
                <w:rFonts w:ascii="宋体" w:hAnsi="宋体" w:eastAsia="宋体"/>
                <w:sz w:val="16"/>
              </w:rPr>
              <w:t>获得支持的企业满意度（%）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1E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9C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B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CA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EF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D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FF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AB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C8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177D">
            <w:pPr>
              <w:jc w:val="center"/>
            </w:pPr>
          </w:p>
        </w:tc>
      </w:tr>
      <w:tr w14:paraId="04F766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FAD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06D9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EBD3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B7B846">
            <w:pPr>
              <w:jc w:val="center"/>
            </w:pPr>
            <w:r>
              <w:rPr>
                <w:rFonts w:ascii="宋体" w:hAnsi="宋体" w:eastAsia="宋体"/>
                <w:sz w:val="16"/>
              </w:rPr>
              <w:t>100分</w:t>
            </w:r>
          </w:p>
        </w:tc>
      </w:tr>
    </w:tbl>
    <w:p w14:paraId="771CFACF">
      <w:r>
        <w:br w:type="page"/>
      </w:r>
    </w:p>
    <w:p w14:paraId="7A49ADA5">
      <w:pPr>
        <w:spacing w:line="640" w:lineRule="exact"/>
        <w:ind w:firstLine="640"/>
        <w:jc w:val="both"/>
        <w:outlineLvl w:val="2"/>
      </w:pPr>
      <w:r>
        <w:rPr>
          <w:rFonts w:ascii="黑体" w:hAnsi="黑体" w:eastAsia="黑体"/>
          <w:sz w:val="32"/>
        </w:rPr>
        <w:t>十二、其他需说明的事项</w:t>
      </w:r>
    </w:p>
    <w:p w14:paraId="2FCD9FF0">
      <w:pPr>
        <w:spacing w:line="580" w:lineRule="exact"/>
        <w:ind w:firstLine="640"/>
        <w:jc w:val="both"/>
      </w:pPr>
      <w:r>
        <w:rPr>
          <w:rFonts w:ascii="仿宋_GB2312" w:hAnsi="仿宋_GB2312" w:eastAsia="仿宋_GB2312"/>
          <w:b w:val="0"/>
          <w:sz w:val="32"/>
        </w:rPr>
        <w:t>本年本单位SM项目</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9419.17</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6730.62</w:t>
      </w:r>
      <w:r>
        <w:rPr>
          <w:rFonts w:ascii="仿宋_GB2312" w:hAnsi="仿宋_GB2312" w:eastAsia="仿宋_GB2312"/>
          <w:b w:val="0"/>
          <w:sz w:val="32"/>
        </w:rPr>
        <w:t>万元</w:t>
      </w:r>
    </w:p>
    <w:p w14:paraId="3572577B">
      <w:r>
        <w:br w:type="page"/>
      </w:r>
    </w:p>
    <w:p w14:paraId="7F8E5627">
      <w:pPr>
        <w:spacing w:line="240" w:lineRule="auto"/>
        <w:jc w:val="center"/>
        <w:outlineLvl w:val="1"/>
      </w:pPr>
      <w:r>
        <w:rPr>
          <w:rFonts w:ascii="黑体" w:hAnsi="黑体" w:eastAsia="黑体"/>
          <w:sz w:val="32"/>
        </w:rPr>
        <w:t>第三部分 专业名词解释</w:t>
      </w:r>
    </w:p>
    <w:p w14:paraId="0C17B27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A3980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5D1690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0E541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11A6B9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AF594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7EF177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51A1D1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C70B7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BA6216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9FC44E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4EAC3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01C4B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0C15D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732ECF">
      <w:r>
        <w:br w:type="page"/>
      </w:r>
    </w:p>
    <w:p w14:paraId="33CFD8B1">
      <w:pPr>
        <w:spacing w:line="240" w:lineRule="auto"/>
        <w:jc w:val="center"/>
        <w:outlineLvl w:val="1"/>
      </w:pPr>
      <w:r>
        <w:rPr>
          <w:rFonts w:ascii="黑体" w:hAnsi="黑体" w:eastAsia="黑体"/>
          <w:sz w:val="32"/>
        </w:rPr>
        <w:t>第四部分 部门决算报表（见附表）</w:t>
      </w:r>
    </w:p>
    <w:p w14:paraId="34124779">
      <w:pPr>
        <w:spacing w:line="240" w:lineRule="auto"/>
        <w:ind w:firstLine="640"/>
        <w:jc w:val="both"/>
      </w:pPr>
      <w:r>
        <w:rPr>
          <w:rFonts w:ascii="仿宋_GB2312" w:hAnsi="仿宋_GB2312" w:eastAsia="仿宋_GB2312"/>
          <w:b w:val="0"/>
          <w:sz w:val="32"/>
        </w:rPr>
        <w:t>一、《收入支出决算总表》</w:t>
      </w:r>
    </w:p>
    <w:p w14:paraId="75179C75">
      <w:pPr>
        <w:spacing w:line="240" w:lineRule="auto"/>
        <w:ind w:firstLine="640"/>
        <w:jc w:val="both"/>
      </w:pPr>
      <w:r>
        <w:rPr>
          <w:rFonts w:ascii="仿宋_GB2312" w:hAnsi="仿宋_GB2312" w:eastAsia="仿宋_GB2312"/>
          <w:b w:val="0"/>
          <w:sz w:val="32"/>
        </w:rPr>
        <w:t>二、《收入决算表》</w:t>
      </w:r>
    </w:p>
    <w:p w14:paraId="05F8AE34">
      <w:pPr>
        <w:spacing w:line="240" w:lineRule="auto"/>
        <w:ind w:firstLine="640"/>
        <w:jc w:val="both"/>
      </w:pPr>
      <w:r>
        <w:rPr>
          <w:rFonts w:ascii="仿宋_GB2312" w:hAnsi="仿宋_GB2312" w:eastAsia="仿宋_GB2312"/>
          <w:b w:val="0"/>
          <w:sz w:val="32"/>
        </w:rPr>
        <w:t>三、《支出决算表》</w:t>
      </w:r>
    </w:p>
    <w:p w14:paraId="04DC223B">
      <w:pPr>
        <w:spacing w:line="240" w:lineRule="auto"/>
        <w:ind w:firstLine="640"/>
        <w:jc w:val="both"/>
      </w:pPr>
      <w:r>
        <w:rPr>
          <w:rFonts w:ascii="仿宋_GB2312" w:hAnsi="仿宋_GB2312" w:eastAsia="仿宋_GB2312"/>
          <w:b w:val="0"/>
          <w:sz w:val="32"/>
        </w:rPr>
        <w:t>四、《财政拨款收入支出决算总表》</w:t>
      </w:r>
    </w:p>
    <w:p w14:paraId="4EE867C9">
      <w:pPr>
        <w:spacing w:line="240" w:lineRule="auto"/>
        <w:ind w:firstLine="640"/>
        <w:jc w:val="both"/>
      </w:pPr>
      <w:r>
        <w:rPr>
          <w:rFonts w:ascii="仿宋_GB2312" w:hAnsi="仿宋_GB2312" w:eastAsia="仿宋_GB2312"/>
          <w:b w:val="0"/>
          <w:sz w:val="32"/>
        </w:rPr>
        <w:t>五、《一般公共预算财政拨款支出决算表》</w:t>
      </w:r>
    </w:p>
    <w:p w14:paraId="41583BDF">
      <w:pPr>
        <w:spacing w:line="240" w:lineRule="auto"/>
        <w:ind w:firstLine="640"/>
        <w:jc w:val="both"/>
      </w:pPr>
      <w:r>
        <w:rPr>
          <w:rFonts w:ascii="仿宋_GB2312" w:hAnsi="仿宋_GB2312" w:eastAsia="仿宋_GB2312"/>
          <w:b w:val="0"/>
          <w:sz w:val="32"/>
        </w:rPr>
        <w:t>六、《一般公共预算财政拨款基本支出决算表》</w:t>
      </w:r>
    </w:p>
    <w:p w14:paraId="5F05D98D">
      <w:pPr>
        <w:spacing w:line="240" w:lineRule="auto"/>
        <w:ind w:firstLine="640"/>
        <w:jc w:val="both"/>
      </w:pPr>
      <w:r>
        <w:rPr>
          <w:rFonts w:ascii="仿宋_GB2312" w:hAnsi="仿宋_GB2312" w:eastAsia="仿宋_GB2312"/>
          <w:b w:val="0"/>
          <w:sz w:val="32"/>
        </w:rPr>
        <w:t>七、《政府性基金预算财政拨款收入支出决算表》</w:t>
      </w:r>
    </w:p>
    <w:p w14:paraId="46DB69A0">
      <w:pPr>
        <w:spacing w:line="240" w:lineRule="auto"/>
        <w:ind w:firstLine="640"/>
        <w:jc w:val="both"/>
      </w:pPr>
      <w:r>
        <w:rPr>
          <w:rFonts w:ascii="仿宋_GB2312" w:hAnsi="仿宋_GB2312" w:eastAsia="仿宋_GB2312"/>
          <w:b w:val="0"/>
          <w:sz w:val="32"/>
        </w:rPr>
        <w:t>八、《国有资本经营预算财政拨款收入支出决算表》</w:t>
      </w:r>
    </w:p>
    <w:p w14:paraId="54B67386">
      <w:pPr>
        <w:spacing w:line="240" w:lineRule="auto"/>
        <w:ind w:firstLine="640"/>
        <w:jc w:val="both"/>
      </w:pPr>
      <w:r>
        <w:rPr>
          <w:rFonts w:ascii="仿宋_GB2312" w:hAnsi="仿宋_GB2312" w:eastAsia="仿宋_GB2312"/>
          <w:b w:val="0"/>
          <w:sz w:val="32"/>
        </w:rPr>
        <w:t>九、《财政拨款“三公”经费支出决算表》</w:t>
      </w:r>
    </w:p>
    <w:p w14:paraId="4C971ADC">
      <w:pPr>
        <w:spacing w:line="240" w:lineRule="auto"/>
        <w:ind w:firstLine="640"/>
        <w:jc w:val="both"/>
      </w:pPr>
    </w:p>
    <w:p w14:paraId="794FEBED">
      <w:pPr>
        <w:spacing w:line="240" w:lineRule="auto"/>
        <w:ind w:firstLine="640"/>
        <w:jc w:val="both"/>
      </w:pPr>
    </w:p>
    <w:p w14:paraId="64D98753">
      <w:pPr>
        <w:spacing w:line="240" w:lineRule="auto"/>
        <w:ind w:firstLine="640"/>
        <w:jc w:val="both"/>
      </w:pPr>
    </w:p>
    <w:p w14:paraId="62E791CA">
      <w:pPr>
        <w:spacing w:line="240" w:lineRule="auto"/>
        <w:ind w:firstLine="640"/>
        <w:jc w:val="both"/>
      </w:pPr>
    </w:p>
    <w:p w14:paraId="0EAC543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35BE01-886D-45CF-A52E-12474CCA9A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089E0B0-BF7A-485B-85DE-CDCC9CFB2C05}"/>
  </w:font>
  <w:font w:name="仿宋_GB2312">
    <w:panose1 w:val="02010609030101010101"/>
    <w:charset w:val="86"/>
    <w:family w:val="modern"/>
    <w:pitch w:val="default"/>
    <w:sig w:usb0="00000001" w:usb1="080E0000" w:usb2="00000000" w:usb3="00000000" w:csb0="00040000" w:csb1="00000000"/>
    <w:embedRegular r:id="rId3" w:fontKey="{7E6D8517-2817-4C52-924D-666A9AD9E449}"/>
  </w:font>
  <w:font w:name="楷体_GB2312">
    <w:panose1 w:val="02010609030101010101"/>
    <w:charset w:val="86"/>
    <w:family w:val="auto"/>
    <w:pitch w:val="default"/>
    <w:sig w:usb0="00000001" w:usb1="080E0000" w:usb2="00000000" w:usb3="00000000" w:csb0="00040000" w:csb1="00000000"/>
    <w:embedRegular r:id="rId4" w:fontKey="{E271FD4A-83F2-4A04-B100-85CD21E699E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504FF0"/>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0F06B5E"/>
    <w:rsid w:val="52F92565"/>
    <w:rsid w:val="542D52C7"/>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7514</Words>
  <Characters>8753</Characters>
  <Lines>0</Lines>
  <Paragraphs>0</Paragraphs>
  <TotalTime>14</TotalTime>
  <ScaleCrop>false</ScaleCrop>
  <LinksUpToDate>false</LinksUpToDate>
  <CharactersWithSpaces>8761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2025-09-01T05:41:23Z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